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41" w:rsidRDefault="00C05841" w:rsidP="003470A9">
      <w:pPr>
        <w:jc w:val="center"/>
        <w:rPr>
          <w:rFonts w:asciiTheme="minorHAnsi" w:hAnsiTheme="minorHAnsi"/>
          <w:b/>
          <w:sz w:val="32"/>
          <w:szCs w:val="22"/>
        </w:rPr>
      </w:pPr>
      <w:r>
        <w:rPr>
          <w:rFonts w:asciiTheme="minorHAnsi" w:hAnsiTheme="minorHAnsi"/>
          <w:b/>
          <w:noProof/>
          <w:sz w:val="32"/>
          <w:szCs w:val="22"/>
        </w:rPr>
        <w:drawing>
          <wp:inline distT="0" distB="0" distL="0" distR="0">
            <wp:extent cx="7053683" cy="50601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no address.png"/>
                    <pic:cNvPicPr/>
                  </pic:nvPicPr>
                  <pic:blipFill>
                    <a:blip r:embed="rId7">
                      <a:extLst>
                        <a:ext uri="{28A0092B-C50C-407E-A947-70E740481C1C}">
                          <a14:useLocalDpi xmlns:a14="http://schemas.microsoft.com/office/drawing/2010/main" val="0"/>
                        </a:ext>
                      </a:extLst>
                    </a:blip>
                    <a:stretch>
                      <a:fillRect/>
                    </a:stretch>
                  </pic:blipFill>
                  <pic:spPr>
                    <a:xfrm>
                      <a:off x="0" y="0"/>
                      <a:ext cx="7053683" cy="506012"/>
                    </a:xfrm>
                    <a:prstGeom prst="rect">
                      <a:avLst/>
                    </a:prstGeom>
                  </pic:spPr>
                </pic:pic>
              </a:graphicData>
            </a:graphic>
          </wp:inline>
        </w:drawing>
      </w:r>
    </w:p>
    <w:p w:rsidR="00C05841" w:rsidRDefault="00C05841" w:rsidP="003470A9">
      <w:pPr>
        <w:jc w:val="center"/>
        <w:rPr>
          <w:rFonts w:asciiTheme="minorHAnsi" w:hAnsiTheme="minorHAnsi"/>
          <w:b/>
          <w:sz w:val="32"/>
          <w:szCs w:val="22"/>
        </w:rPr>
      </w:pPr>
    </w:p>
    <w:p w:rsidR="00726318" w:rsidRDefault="00726318" w:rsidP="00F82941">
      <w:pPr>
        <w:rPr>
          <w:rFonts w:asciiTheme="minorHAnsi" w:hAnsiTheme="minorHAnsi"/>
          <w:szCs w:val="22"/>
        </w:rPr>
      </w:pPr>
    </w:p>
    <w:tbl>
      <w:tblPr>
        <w:tblStyle w:val="TableGrid"/>
        <w:tblW w:w="0" w:type="auto"/>
        <w:tblLook w:val="04A0" w:firstRow="1" w:lastRow="0" w:firstColumn="1" w:lastColumn="0" w:noHBand="0" w:noVBand="1"/>
      </w:tblPr>
      <w:tblGrid>
        <w:gridCol w:w="12580"/>
        <w:gridCol w:w="1810"/>
      </w:tblGrid>
      <w:tr w:rsidR="009F1D83" w:rsidRPr="00726318" w:rsidTr="00863E47">
        <w:trPr>
          <w:trHeight w:val="20"/>
        </w:trPr>
        <w:tc>
          <w:tcPr>
            <w:tcW w:w="0" w:type="auto"/>
          </w:tcPr>
          <w:p w:rsidR="009F1D83" w:rsidRPr="00726318" w:rsidRDefault="009F1D83" w:rsidP="00726318">
            <w:pPr>
              <w:rPr>
                <w:rFonts w:asciiTheme="minorHAnsi" w:hAnsiTheme="minorHAnsi"/>
                <w:szCs w:val="22"/>
              </w:rPr>
            </w:pPr>
            <w:r w:rsidRPr="000A7D92">
              <w:rPr>
                <w:rFonts w:asciiTheme="minorHAnsi" w:hAnsiTheme="minorHAnsi"/>
                <w:color w:val="C00000"/>
                <w:szCs w:val="22"/>
              </w:rPr>
              <w:t>Projects for this Year</w:t>
            </w:r>
            <w:r>
              <w:rPr>
                <w:rFonts w:asciiTheme="minorHAnsi" w:hAnsiTheme="minorHAnsi"/>
                <w:color w:val="C00000"/>
                <w:szCs w:val="22"/>
              </w:rPr>
              <w:t>:</w:t>
            </w:r>
          </w:p>
        </w:tc>
        <w:tc>
          <w:tcPr>
            <w:tcW w:w="0" w:type="auto"/>
          </w:tcPr>
          <w:p w:rsidR="009F1D83" w:rsidRPr="00726318" w:rsidRDefault="009F1D83" w:rsidP="00726318">
            <w:pPr>
              <w:rPr>
                <w:rFonts w:asciiTheme="minorHAnsi" w:hAnsiTheme="minorHAnsi"/>
                <w:szCs w:val="22"/>
              </w:rPr>
            </w:pPr>
            <w:r w:rsidRPr="000A7D92">
              <w:rPr>
                <w:rFonts w:asciiTheme="minorHAnsi" w:hAnsiTheme="minorHAnsi"/>
                <w:color w:val="C00000"/>
                <w:szCs w:val="22"/>
              </w:rPr>
              <w:t>Strategic Goal that applies</w:t>
            </w:r>
          </w:p>
        </w:tc>
      </w:tr>
      <w:tr w:rsidR="009F1D83" w:rsidTr="00863E47">
        <w:trPr>
          <w:trHeight w:val="620"/>
        </w:trPr>
        <w:tc>
          <w:tcPr>
            <w:tcW w:w="0" w:type="auto"/>
          </w:tcPr>
          <w:p w:rsidR="00074C7D" w:rsidRDefault="008D4E35" w:rsidP="00F82941">
            <w:pPr>
              <w:rPr>
                <w:rFonts w:asciiTheme="minorHAnsi" w:hAnsiTheme="minorHAnsi"/>
                <w:sz w:val="18"/>
                <w:szCs w:val="22"/>
              </w:rPr>
            </w:pPr>
            <w:r>
              <w:rPr>
                <w:rFonts w:asciiTheme="minorHAnsi" w:hAnsiTheme="minorHAnsi"/>
                <w:sz w:val="18"/>
                <w:szCs w:val="22"/>
              </w:rPr>
              <w:t xml:space="preserve">Since the Administrative Division and the Council has approved the idea of the Visiting Advisor Program, the GIC will now work towards launching the program on the NACADA website. </w:t>
            </w:r>
          </w:p>
        </w:tc>
        <w:tc>
          <w:tcPr>
            <w:tcW w:w="0" w:type="auto"/>
            <w:vAlign w:val="center"/>
          </w:tcPr>
          <w:p w:rsidR="009F1D83" w:rsidRDefault="009F1D83" w:rsidP="00863E47">
            <w:pPr>
              <w:jc w:val="center"/>
              <w:rPr>
                <w:rFonts w:asciiTheme="minorHAnsi" w:hAnsiTheme="minorHAnsi"/>
                <w:sz w:val="18"/>
                <w:szCs w:val="22"/>
              </w:rPr>
            </w:pPr>
          </w:p>
          <w:p w:rsidR="00151EED" w:rsidRDefault="00151EED" w:rsidP="00863E47">
            <w:pPr>
              <w:jc w:val="center"/>
              <w:rPr>
                <w:rFonts w:asciiTheme="minorHAnsi" w:hAnsiTheme="minorHAnsi"/>
                <w:sz w:val="18"/>
                <w:szCs w:val="22"/>
              </w:rPr>
            </w:pPr>
            <w:r>
              <w:rPr>
                <w:rFonts w:asciiTheme="minorHAnsi" w:hAnsiTheme="minorHAnsi"/>
                <w:sz w:val="18"/>
                <w:szCs w:val="22"/>
              </w:rPr>
              <w:t>SG #2 and SG #4</w:t>
            </w:r>
          </w:p>
        </w:tc>
      </w:tr>
      <w:tr w:rsidR="009F1D83" w:rsidTr="00863E47">
        <w:trPr>
          <w:trHeight w:val="620"/>
        </w:trPr>
        <w:tc>
          <w:tcPr>
            <w:tcW w:w="0" w:type="auto"/>
          </w:tcPr>
          <w:p w:rsidR="00074C7D" w:rsidRDefault="008D4E35" w:rsidP="00863E47">
            <w:pPr>
              <w:rPr>
                <w:rFonts w:asciiTheme="minorHAnsi" w:hAnsiTheme="minorHAnsi"/>
                <w:sz w:val="18"/>
                <w:szCs w:val="22"/>
              </w:rPr>
            </w:pPr>
            <w:r>
              <w:rPr>
                <w:rFonts w:asciiTheme="minorHAnsi" w:hAnsiTheme="minorHAnsi"/>
                <w:sz w:val="18"/>
                <w:szCs w:val="22"/>
              </w:rPr>
              <w:t>The idea of an international glossary of terms has been frequently requested by the NACADA members over t</w:t>
            </w:r>
            <w:r w:rsidR="007C314A">
              <w:rPr>
                <w:rFonts w:asciiTheme="minorHAnsi" w:hAnsiTheme="minorHAnsi"/>
                <w:sz w:val="18"/>
                <w:szCs w:val="22"/>
              </w:rPr>
              <w:t>he year</w:t>
            </w:r>
            <w:r w:rsidR="00863E47">
              <w:rPr>
                <w:rFonts w:asciiTheme="minorHAnsi" w:hAnsiTheme="minorHAnsi"/>
                <w:sz w:val="18"/>
                <w:szCs w:val="22"/>
              </w:rPr>
              <w:t>s</w:t>
            </w:r>
            <w:r w:rsidR="007C314A">
              <w:rPr>
                <w:rFonts w:asciiTheme="minorHAnsi" w:hAnsiTheme="minorHAnsi"/>
                <w:sz w:val="18"/>
                <w:szCs w:val="22"/>
              </w:rPr>
              <w:t>, t</w:t>
            </w:r>
            <w:r>
              <w:rPr>
                <w:rFonts w:asciiTheme="minorHAnsi" w:hAnsiTheme="minorHAnsi"/>
                <w:sz w:val="18"/>
                <w:szCs w:val="22"/>
              </w:rPr>
              <w:t>he GIC will initiate the collection of frequently used terms and their definitions to be made available for the NACADA’s global community.</w:t>
            </w:r>
          </w:p>
        </w:tc>
        <w:tc>
          <w:tcPr>
            <w:tcW w:w="0" w:type="auto"/>
            <w:vAlign w:val="center"/>
          </w:tcPr>
          <w:p w:rsidR="009F1D83" w:rsidRDefault="009F1D83" w:rsidP="00863E47">
            <w:pPr>
              <w:jc w:val="center"/>
              <w:rPr>
                <w:rFonts w:asciiTheme="minorHAnsi" w:hAnsiTheme="minorHAnsi"/>
                <w:sz w:val="18"/>
                <w:szCs w:val="22"/>
              </w:rPr>
            </w:pPr>
          </w:p>
          <w:p w:rsidR="00151EED" w:rsidRDefault="00151EED" w:rsidP="00863E47">
            <w:pPr>
              <w:jc w:val="center"/>
              <w:rPr>
                <w:rFonts w:asciiTheme="minorHAnsi" w:hAnsiTheme="minorHAnsi"/>
                <w:sz w:val="18"/>
                <w:szCs w:val="22"/>
              </w:rPr>
            </w:pPr>
            <w:r>
              <w:rPr>
                <w:rFonts w:asciiTheme="minorHAnsi" w:hAnsiTheme="minorHAnsi"/>
                <w:sz w:val="18"/>
                <w:szCs w:val="22"/>
              </w:rPr>
              <w:t>SG #2 and SG #4</w:t>
            </w:r>
          </w:p>
        </w:tc>
      </w:tr>
      <w:tr w:rsidR="009F1D83" w:rsidTr="00863E47">
        <w:trPr>
          <w:trHeight w:val="20"/>
        </w:trPr>
        <w:tc>
          <w:tcPr>
            <w:tcW w:w="0" w:type="auto"/>
          </w:tcPr>
          <w:p w:rsidR="00074C7D" w:rsidRDefault="008D4E35" w:rsidP="00F82941">
            <w:pPr>
              <w:rPr>
                <w:rFonts w:asciiTheme="minorHAnsi" w:hAnsiTheme="minorHAnsi"/>
                <w:sz w:val="18"/>
                <w:szCs w:val="22"/>
              </w:rPr>
            </w:pPr>
            <w:r>
              <w:rPr>
                <w:rFonts w:asciiTheme="minorHAnsi" w:hAnsiTheme="minorHAnsi"/>
                <w:sz w:val="18"/>
                <w:szCs w:val="22"/>
              </w:rPr>
              <w:t xml:space="preserve">GIC will work towards </w:t>
            </w:r>
            <w:r w:rsidR="002B4D94">
              <w:rPr>
                <w:rFonts w:asciiTheme="minorHAnsi" w:hAnsiTheme="minorHAnsi"/>
                <w:sz w:val="18"/>
                <w:szCs w:val="22"/>
              </w:rPr>
              <w:t xml:space="preserve">creating </w:t>
            </w:r>
            <w:r>
              <w:rPr>
                <w:rFonts w:asciiTheme="minorHAnsi" w:hAnsiTheme="minorHAnsi"/>
                <w:sz w:val="18"/>
                <w:szCs w:val="22"/>
              </w:rPr>
              <w:t>a</w:t>
            </w:r>
            <w:r w:rsidR="00C355C0">
              <w:rPr>
                <w:rFonts w:asciiTheme="minorHAnsi" w:hAnsiTheme="minorHAnsi"/>
                <w:sz w:val="18"/>
                <w:szCs w:val="22"/>
              </w:rPr>
              <w:t xml:space="preserve"> gathering and networking</w:t>
            </w:r>
            <w:r>
              <w:rPr>
                <w:rFonts w:asciiTheme="minorHAnsi" w:hAnsiTheme="minorHAnsi"/>
                <w:sz w:val="18"/>
                <w:szCs w:val="22"/>
              </w:rPr>
              <w:t xml:space="preserve"> space for international members at the NACADA 2019 Annual Conference and potentially also at the NACADA 2019 International Conference. </w:t>
            </w:r>
            <w:r w:rsidR="00C355C0">
              <w:rPr>
                <w:rFonts w:asciiTheme="minorHAnsi" w:hAnsiTheme="minorHAnsi"/>
                <w:sz w:val="18"/>
                <w:szCs w:val="22"/>
              </w:rPr>
              <w:t>This is in addition to the interna</w:t>
            </w:r>
            <w:r w:rsidR="00863E47">
              <w:rPr>
                <w:rFonts w:asciiTheme="minorHAnsi" w:hAnsiTheme="minorHAnsi"/>
                <w:sz w:val="18"/>
                <w:szCs w:val="22"/>
              </w:rPr>
              <w:t xml:space="preserve">tional “region” meeting that is </w:t>
            </w:r>
            <w:r w:rsidR="00C355C0">
              <w:rPr>
                <w:rFonts w:asciiTheme="minorHAnsi" w:hAnsiTheme="minorHAnsi"/>
                <w:sz w:val="18"/>
                <w:szCs w:val="22"/>
              </w:rPr>
              <w:t xml:space="preserve">held at the Annual Conference. </w:t>
            </w:r>
          </w:p>
          <w:p w:rsidR="009F1D83" w:rsidRDefault="009F1D83" w:rsidP="00F82941">
            <w:pPr>
              <w:rPr>
                <w:rFonts w:asciiTheme="minorHAnsi" w:hAnsiTheme="minorHAnsi"/>
                <w:sz w:val="18"/>
                <w:szCs w:val="22"/>
              </w:rPr>
            </w:pPr>
          </w:p>
        </w:tc>
        <w:tc>
          <w:tcPr>
            <w:tcW w:w="0" w:type="auto"/>
            <w:vAlign w:val="center"/>
          </w:tcPr>
          <w:p w:rsidR="009F1D83" w:rsidRDefault="009F1D83" w:rsidP="00863E47">
            <w:pPr>
              <w:jc w:val="center"/>
              <w:rPr>
                <w:rFonts w:asciiTheme="minorHAnsi" w:hAnsiTheme="minorHAnsi"/>
                <w:sz w:val="18"/>
                <w:szCs w:val="22"/>
              </w:rPr>
            </w:pPr>
          </w:p>
          <w:p w:rsidR="00151EED" w:rsidRDefault="00151EED" w:rsidP="00863E47">
            <w:pPr>
              <w:jc w:val="center"/>
              <w:rPr>
                <w:rFonts w:asciiTheme="minorHAnsi" w:hAnsiTheme="minorHAnsi"/>
                <w:sz w:val="18"/>
                <w:szCs w:val="22"/>
              </w:rPr>
            </w:pPr>
            <w:r>
              <w:rPr>
                <w:rFonts w:asciiTheme="minorHAnsi" w:hAnsiTheme="minorHAnsi"/>
                <w:sz w:val="18"/>
                <w:szCs w:val="22"/>
              </w:rPr>
              <w:t>SG #4</w:t>
            </w:r>
          </w:p>
        </w:tc>
      </w:tr>
      <w:tr w:rsidR="009F1D83" w:rsidTr="00863E47">
        <w:trPr>
          <w:trHeight w:val="20"/>
        </w:trPr>
        <w:tc>
          <w:tcPr>
            <w:tcW w:w="0" w:type="auto"/>
          </w:tcPr>
          <w:p w:rsidR="009F1D83" w:rsidRDefault="00C355C0" w:rsidP="00F82941">
            <w:pPr>
              <w:rPr>
                <w:rFonts w:asciiTheme="minorHAnsi" w:hAnsiTheme="minorHAnsi"/>
                <w:sz w:val="18"/>
                <w:szCs w:val="22"/>
              </w:rPr>
            </w:pPr>
            <w:r>
              <w:rPr>
                <w:rFonts w:asciiTheme="minorHAnsi" w:hAnsiTheme="minorHAnsi"/>
                <w:sz w:val="18"/>
                <w:szCs w:val="22"/>
              </w:rPr>
              <w:t>Based on the comments received from the attendees at the NACADA</w:t>
            </w:r>
            <w:r w:rsidR="002B4D94">
              <w:rPr>
                <w:rFonts w:asciiTheme="minorHAnsi" w:hAnsiTheme="minorHAnsi"/>
                <w:sz w:val="18"/>
                <w:szCs w:val="22"/>
              </w:rPr>
              <w:t xml:space="preserve"> 2018</w:t>
            </w:r>
            <w:r>
              <w:rPr>
                <w:rFonts w:asciiTheme="minorHAnsi" w:hAnsiTheme="minorHAnsi"/>
                <w:sz w:val="18"/>
                <w:szCs w:val="22"/>
              </w:rPr>
              <w:t xml:space="preserve"> International Conference, GIC will launch the NACADA Friends Network at the 2019 International C</w:t>
            </w:r>
            <w:r w:rsidR="005A4E62">
              <w:rPr>
                <w:rFonts w:asciiTheme="minorHAnsi" w:hAnsiTheme="minorHAnsi"/>
                <w:sz w:val="18"/>
                <w:szCs w:val="22"/>
              </w:rPr>
              <w:t xml:space="preserve">onference in Hasselt with the intention to create an informal means of communication between NACADA’s global community. </w:t>
            </w:r>
          </w:p>
          <w:p w:rsidR="00074C7D" w:rsidRDefault="00074C7D" w:rsidP="00F82941">
            <w:pPr>
              <w:rPr>
                <w:rFonts w:asciiTheme="minorHAnsi" w:hAnsiTheme="minorHAnsi"/>
                <w:sz w:val="18"/>
                <w:szCs w:val="22"/>
              </w:rPr>
            </w:pPr>
          </w:p>
        </w:tc>
        <w:tc>
          <w:tcPr>
            <w:tcW w:w="0" w:type="auto"/>
            <w:vAlign w:val="center"/>
          </w:tcPr>
          <w:p w:rsidR="009F1D83" w:rsidRDefault="009F1D83" w:rsidP="00863E47">
            <w:pPr>
              <w:jc w:val="center"/>
              <w:rPr>
                <w:rFonts w:asciiTheme="minorHAnsi" w:hAnsiTheme="minorHAnsi"/>
                <w:sz w:val="18"/>
                <w:szCs w:val="22"/>
              </w:rPr>
            </w:pPr>
          </w:p>
          <w:p w:rsidR="00151EED" w:rsidRDefault="00151EED" w:rsidP="00863E47">
            <w:pPr>
              <w:jc w:val="center"/>
              <w:rPr>
                <w:rFonts w:asciiTheme="minorHAnsi" w:hAnsiTheme="minorHAnsi"/>
                <w:sz w:val="18"/>
                <w:szCs w:val="22"/>
              </w:rPr>
            </w:pPr>
            <w:r>
              <w:rPr>
                <w:rFonts w:asciiTheme="minorHAnsi" w:hAnsiTheme="minorHAnsi"/>
                <w:sz w:val="18"/>
                <w:szCs w:val="22"/>
              </w:rPr>
              <w:t>SG #2 and SG #4</w:t>
            </w:r>
          </w:p>
        </w:tc>
      </w:tr>
      <w:tr w:rsidR="009F1D83" w:rsidTr="00863E47">
        <w:trPr>
          <w:trHeight w:val="20"/>
        </w:trPr>
        <w:tc>
          <w:tcPr>
            <w:tcW w:w="0" w:type="auto"/>
          </w:tcPr>
          <w:p w:rsidR="009F1D83" w:rsidRDefault="00151EED" w:rsidP="00F82941">
            <w:pPr>
              <w:rPr>
                <w:rFonts w:asciiTheme="minorHAnsi" w:hAnsiTheme="minorHAnsi"/>
                <w:sz w:val="18"/>
                <w:szCs w:val="22"/>
              </w:rPr>
            </w:pPr>
            <w:r>
              <w:rPr>
                <w:rFonts w:asciiTheme="minorHAnsi" w:hAnsiTheme="minorHAnsi"/>
                <w:sz w:val="18"/>
                <w:szCs w:val="22"/>
              </w:rPr>
              <w:t xml:space="preserve">Review the NACADA website and provide recommendations to the Administrative Division Representatives to make the website more inclusive for non-US and non-Canadian members based on findings. </w:t>
            </w:r>
          </w:p>
          <w:p w:rsidR="00074C7D" w:rsidRDefault="00074C7D" w:rsidP="00F82941">
            <w:pPr>
              <w:rPr>
                <w:rFonts w:asciiTheme="minorHAnsi" w:hAnsiTheme="minorHAnsi"/>
                <w:sz w:val="18"/>
                <w:szCs w:val="22"/>
              </w:rPr>
            </w:pPr>
          </w:p>
        </w:tc>
        <w:tc>
          <w:tcPr>
            <w:tcW w:w="0" w:type="auto"/>
            <w:vAlign w:val="center"/>
          </w:tcPr>
          <w:p w:rsidR="009F1D83" w:rsidRDefault="009F1D83" w:rsidP="00863E47">
            <w:pPr>
              <w:jc w:val="center"/>
              <w:rPr>
                <w:rFonts w:asciiTheme="minorHAnsi" w:hAnsiTheme="minorHAnsi"/>
                <w:sz w:val="18"/>
                <w:szCs w:val="22"/>
              </w:rPr>
            </w:pPr>
          </w:p>
          <w:p w:rsidR="00151EED" w:rsidRDefault="00151EED" w:rsidP="00863E47">
            <w:pPr>
              <w:jc w:val="center"/>
              <w:rPr>
                <w:rFonts w:asciiTheme="minorHAnsi" w:hAnsiTheme="minorHAnsi"/>
                <w:sz w:val="18"/>
                <w:szCs w:val="22"/>
              </w:rPr>
            </w:pPr>
            <w:r>
              <w:rPr>
                <w:rFonts w:asciiTheme="minorHAnsi" w:hAnsiTheme="minorHAnsi"/>
                <w:sz w:val="18"/>
                <w:szCs w:val="22"/>
              </w:rPr>
              <w:t>SG #4</w:t>
            </w:r>
          </w:p>
        </w:tc>
      </w:tr>
      <w:tr w:rsidR="002B4D94" w:rsidTr="00863E47">
        <w:trPr>
          <w:trHeight w:val="20"/>
        </w:trPr>
        <w:tc>
          <w:tcPr>
            <w:tcW w:w="0" w:type="auto"/>
          </w:tcPr>
          <w:p w:rsidR="002B4D94" w:rsidRDefault="002B4D94" w:rsidP="00F82941">
            <w:pPr>
              <w:rPr>
                <w:rFonts w:asciiTheme="minorHAnsi" w:hAnsiTheme="minorHAnsi"/>
                <w:sz w:val="18"/>
                <w:szCs w:val="22"/>
              </w:rPr>
            </w:pPr>
            <w:r>
              <w:rPr>
                <w:rFonts w:asciiTheme="minorHAnsi" w:hAnsiTheme="minorHAnsi"/>
                <w:sz w:val="18"/>
                <w:szCs w:val="22"/>
              </w:rPr>
              <w:t xml:space="preserve">Continue the review of the existing ELP program in terms of global relevance and accessibility and provide recommendations to the ELP advisory board as appropriate. </w:t>
            </w:r>
          </w:p>
          <w:p w:rsidR="002B4D94" w:rsidRDefault="002B4D94" w:rsidP="00F82941">
            <w:pPr>
              <w:rPr>
                <w:rFonts w:asciiTheme="minorHAnsi" w:hAnsiTheme="minorHAnsi"/>
                <w:sz w:val="18"/>
                <w:szCs w:val="22"/>
              </w:rPr>
            </w:pPr>
          </w:p>
        </w:tc>
        <w:tc>
          <w:tcPr>
            <w:tcW w:w="0" w:type="auto"/>
            <w:vAlign w:val="center"/>
          </w:tcPr>
          <w:p w:rsidR="002B4D94" w:rsidRDefault="002B4D94" w:rsidP="00863E47">
            <w:pPr>
              <w:jc w:val="center"/>
              <w:rPr>
                <w:rFonts w:asciiTheme="minorHAnsi" w:hAnsiTheme="minorHAnsi"/>
                <w:sz w:val="18"/>
                <w:szCs w:val="22"/>
              </w:rPr>
            </w:pPr>
          </w:p>
          <w:p w:rsidR="002B4D94" w:rsidRDefault="002B4D94" w:rsidP="00863E47">
            <w:pPr>
              <w:jc w:val="center"/>
              <w:rPr>
                <w:rFonts w:asciiTheme="minorHAnsi" w:hAnsiTheme="minorHAnsi"/>
                <w:sz w:val="18"/>
                <w:szCs w:val="22"/>
              </w:rPr>
            </w:pPr>
            <w:r>
              <w:rPr>
                <w:rFonts w:asciiTheme="minorHAnsi" w:hAnsiTheme="minorHAnsi"/>
                <w:sz w:val="18"/>
                <w:szCs w:val="22"/>
              </w:rPr>
              <w:t>SG #2 and SG #4</w:t>
            </w:r>
          </w:p>
        </w:tc>
      </w:tr>
      <w:tr w:rsidR="00F726D7" w:rsidTr="00863E47">
        <w:trPr>
          <w:trHeight w:val="20"/>
        </w:trPr>
        <w:tc>
          <w:tcPr>
            <w:tcW w:w="0" w:type="auto"/>
          </w:tcPr>
          <w:p w:rsidR="00F726D7" w:rsidRDefault="00D71C70" w:rsidP="00F82941">
            <w:pPr>
              <w:rPr>
                <w:rFonts w:asciiTheme="minorHAnsi" w:hAnsiTheme="minorHAnsi"/>
                <w:sz w:val="18"/>
                <w:szCs w:val="22"/>
              </w:rPr>
            </w:pPr>
            <w:r>
              <w:rPr>
                <w:rFonts w:asciiTheme="minorHAnsi" w:hAnsiTheme="minorHAnsi"/>
                <w:sz w:val="18"/>
                <w:szCs w:val="22"/>
              </w:rPr>
              <w:t xml:space="preserve">GIC will evaluate the feasibility of offering an international webinar. GIC will </w:t>
            </w:r>
            <w:r w:rsidR="00395EFA">
              <w:rPr>
                <w:rFonts w:asciiTheme="minorHAnsi" w:hAnsiTheme="minorHAnsi"/>
                <w:sz w:val="18"/>
                <w:szCs w:val="22"/>
              </w:rPr>
              <w:t xml:space="preserve">assist the EO in identifying </w:t>
            </w:r>
            <w:r>
              <w:rPr>
                <w:rFonts w:asciiTheme="minorHAnsi" w:hAnsiTheme="minorHAnsi"/>
                <w:sz w:val="18"/>
                <w:szCs w:val="22"/>
              </w:rPr>
              <w:t>appropriate individual</w:t>
            </w:r>
            <w:r w:rsidR="00395EFA">
              <w:rPr>
                <w:rFonts w:asciiTheme="minorHAnsi" w:hAnsiTheme="minorHAnsi"/>
                <w:sz w:val="18"/>
                <w:szCs w:val="22"/>
              </w:rPr>
              <w:t>(s)</w:t>
            </w:r>
            <w:r>
              <w:rPr>
                <w:rFonts w:asciiTheme="minorHAnsi" w:hAnsiTheme="minorHAnsi"/>
                <w:sz w:val="18"/>
                <w:szCs w:val="22"/>
              </w:rPr>
              <w:t xml:space="preserve"> from outside the US or Canada that can deliver a webinar better suited for our global community of advisors.</w:t>
            </w:r>
          </w:p>
          <w:p w:rsidR="00863E47" w:rsidRDefault="00863E47" w:rsidP="00F82941">
            <w:pPr>
              <w:rPr>
                <w:rFonts w:asciiTheme="minorHAnsi" w:hAnsiTheme="minorHAnsi"/>
                <w:sz w:val="18"/>
                <w:szCs w:val="22"/>
              </w:rPr>
            </w:pPr>
          </w:p>
        </w:tc>
        <w:tc>
          <w:tcPr>
            <w:tcW w:w="0" w:type="auto"/>
            <w:vAlign w:val="center"/>
          </w:tcPr>
          <w:p w:rsidR="00F726D7" w:rsidRDefault="00863E47" w:rsidP="00863E47">
            <w:pPr>
              <w:jc w:val="center"/>
              <w:rPr>
                <w:rFonts w:asciiTheme="minorHAnsi" w:hAnsiTheme="minorHAnsi"/>
                <w:sz w:val="18"/>
                <w:szCs w:val="22"/>
              </w:rPr>
            </w:pPr>
            <w:r>
              <w:rPr>
                <w:rFonts w:asciiTheme="minorHAnsi" w:hAnsiTheme="minorHAnsi"/>
                <w:sz w:val="18"/>
                <w:szCs w:val="22"/>
              </w:rPr>
              <w:t>SG #2</w:t>
            </w:r>
          </w:p>
        </w:tc>
      </w:tr>
      <w:tr w:rsidR="00D71C70" w:rsidTr="00863E47">
        <w:trPr>
          <w:trHeight w:val="20"/>
        </w:trPr>
        <w:tc>
          <w:tcPr>
            <w:tcW w:w="0" w:type="auto"/>
          </w:tcPr>
          <w:p w:rsidR="00D71C70" w:rsidRDefault="00D71C70" w:rsidP="00D71C70">
            <w:pPr>
              <w:rPr>
                <w:rFonts w:asciiTheme="minorHAnsi" w:hAnsiTheme="minorHAnsi"/>
                <w:sz w:val="18"/>
                <w:szCs w:val="22"/>
              </w:rPr>
            </w:pPr>
            <w:r>
              <w:rPr>
                <w:rFonts w:asciiTheme="minorHAnsi" w:hAnsiTheme="minorHAnsi"/>
                <w:sz w:val="18"/>
                <w:szCs w:val="22"/>
              </w:rPr>
              <w:t xml:space="preserve">GIC will put forward a recommendation to the international conference planning committee to encourage presentation of posters from advisors in different countries outlining how advising is structured in their institutions and identifying any professional advising associations in their countries. This will facilitate information sharing </w:t>
            </w:r>
            <w:r w:rsidR="00395EFA">
              <w:rPr>
                <w:rFonts w:asciiTheme="minorHAnsi" w:hAnsiTheme="minorHAnsi"/>
                <w:sz w:val="18"/>
                <w:szCs w:val="22"/>
              </w:rPr>
              <w:t xml:space="preserve">on international advising practices. </w:t>
            </w:r>
            <w:r>
              <w:rPr>
                <w:rFonts w:asciiTheme="minorHAnsi" w:hAnsiTheme="minorHAnsi"/>
                <w:sz w:val="18"/>
                <w:szCs w:val="22"/>
              </w:rPr>
              <w:t xml:space="preserve"> </w:t>
            </w:r>
          </w:p>
          <w:p w:rsidR="00863E47" w:rsidRDefault="00863E47" w:rsidP="00D71C70">
            <w:pPr>
              <w:rPr>
                <w:rFonts w:asciiTheme="minorHAnsi" w:hAnsiTheme="minorHAnsi"/>
                <w:sz w:val="18"/>
                <w:szCs w:val="22"/>
              </w:rPr>
            </w:pPr>
          </w:p>
        </w:tc>
        <w:tc>
          <w:tcPr>
            <w:tcW w:w="0" w:type="auto"/>
            <w:vAlign w:val="center"/>
          </w:tcPr>
          <w:p w:rsidR="00D71C70" w:rsidRDefault="00863E47" w:rsidP="00863E47">
            <w:pPr>
              <w:jc w:val="center"/>
              <w:rPr>
                <w:rFonts w:asciiTheme="minorHAnsi" w:hAnsiTheme="minorHAnsi"/>
                <w:sz w:val="18"/>
                <w:szCs w:val="22"/>
              </w:rPr>
            </w:pPr>
            <w:r>
              <w:rPr>
                <w:rFonts w:asciiTheme="minorHAnsi" w:hAnsiTheme="minorHAnsi"/>
                <w:sz w:val="18"/>
                <w:szCs w:val="22"/>
              </w:rPr>
              <w:t>SG #4</w:t>
            </w:r>
          </w:p>
        </w:tc>
      </w:tr>
    </w:tbl>
    <w:p w:rsidR="00863E47" w:rsidRDefault="00863E47" w:rsidP="009A7077">
      <w:pPr>
        <w:rPr>
          <w:rFonts w:asciiTheme="minorHAnsi" w:hAnsiTheme="minorHAnsi"/>
          <w:sz w:val="18"/>
          <w:szCs w:val="22"/>
        </w:rPr>
      </w:pPr>
    </w:p>
    <w:p w:rsidR="00863E47" w:rsidRDefault="00863E47" w:rsidP="009A7077">
      <w:pPr>
        <w:rPr>
          <w:rFonts w:asciiTheme="minorHAnsi" w:hAnsiTheme="minorHAnsi"/>
          <w:sz w:val="18"/>
          <w:szCs w:val="22"/>
        </w:rPr>
      </w:pPr>
    </w:p>
    <w:p w:rsidR="00863E47" w:rsidRDefault="00863E47" w:rsidP="009A7077">
      <w:pPr>
        <w:rPr>
          <w:rFonts w:asciiTheme="minorHAnsi" w:hAnsiTheme="minorHAnsi"/>
          <w:sz w:val="18"/>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9A5275" w:rsidRDefault="009A5275" w:rsidP="00106714">
      <w:pPr>
        <w:rPr>
          <w:rFonts w:asciiTheme="minorHAnsi" w:hAnsiTheme="minorHAnsi"/>
          <w:sz w:val="22"/>
          <w:szCs w:val="22"/>
        </w:rPr>
      </w:pPr>
    </w:p>
    <w:p w:rsidR="00C86412" w:rsidRPr="002A42D9" w:rsidRDefault="009B28B7" w:rsidP="00106714">
      <w:pPr>
        <w:rPr>
          <w:rFonts w:asciiTheme="minorHAnsi" w:hAnsiTheme="minorHAnsi"/>
          <w:sz w:val="22"/>
          <w:szCs w:val="22"/>
        </w:rPr>
      </w:pPr>
      <w:bookmarkStart w:id="0" w:name="_GoBack"/>
      <w:bookmarkEnd w:id="0"/>
      <w:r>
        <w:rPr>
          <w:rFonts w:asciiTheme="minorHAnsi" w:hAnsiTheme="minorHAnsi"/>
          <w:sz w:val="22"/>
          <w:szCs w:val="22"/>
        </w:rPr>
        <w:t>1</w:t>
      </w:r>
      <w:r>
        <w:rPr>
          <w:rFonts w:asciiTheme="minorHAnsi" w:hAnsiTheme="minorHAnsi"/>
          <w:sz w:val="22"/>
          <w:szCs w:val="22"/>
        </w:rPr>
        <w:tab/>
      </w:r>
      <w:r>
        <w:rPr>
          <w:rFonts w:asciiTheme="minorHAnsi" w:hAnsiTheme="minorHAnsi"/>
          <w:sz w:val="22"/>
          <w:szCs w:val="22"/>
        </w:rPr>
        <w:tab/>
        <w:t xml:space="preserve">    2</w:t>
      </w:r>
      <w:r>
        <w:rPr>
          <w:rFonts w:asciiTheme="minorHAnsi" w:hAnsiTheme="minorHAnsi"/>
          <w:sz w:val="22"/>
          <w:szCs w:val="22"/>
        </w:rPr>
        <w:tab/>
      </w:r>
      <w:r>
        <w:rPr>
          <w:rFonts w:asciiTheme="minorHAnsi" w:hAnsiTheme="minorHAnsi"/>
          <w:sz w:val="22"/>
          <w:szCs w:val="22"/>
        </w:rPr>
        <w:tab/>
        <w:t xml:space="preserve">         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5</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6</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7</w:t>
      </w:r>
      <w:r>
        <w:rPr>
          <w:rFonts w:asciiTheme="minorHAnsi" w:hAnsiTheme="minorHAnsi"/>
          <w:sz w:val="22"/>
          <w:szCs w:val="22"/>
        </w:rPr>
        <w:tab/>
      </w:r>
      <w:r>
        <w:rPr>
          <w:rFonts w:asciiTheme="minorHAnsi" w:hAnsiTheme="minorHAnsi"/>
          <w:sz w:val="22"/>
          <w:szCs w:val="22"/>
        </w:rPr>
        <w:tab/>
        <w:t xml:space="preserve">    8</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710"/>
        <w:gridCol w:w="2160"/>
        <w:gridCol w:w="2160"/>
        <w:gridCol w:w="2160"/>
        <w:gridCol w:w="2070"/>
        <w:gridCol w:w="1260"/>
        <w:gridCol w:w="1440"/>
      </w:tblGrid>
      <w:tr w:rsidR="004F0111" w:rsidRPr="00EB2AEC">
        <w:trPr>
          <w:trHeight w:val="2487"/>
        </w:trPr>
        <w:tc>
          <w:tcPr>
            <w:tcW w:w="1638" w:type="dxa"/>
          </w:tcPr>
          <w:p w:rsidR="004F0111" w:rsidRPr="004F0111" w:rsidRDefault="004F0111" w:rsidP="0061007D">
            <w:pPr>
              <w:rPr>
                <w:b/>
                <w:sz w:val="22"/>
                <w:szCs w:val="22"/>
              </w:rPr>
            </w:pPr>
            <w:r w:rsidRPr="004F0111">
              <w:rPr>
                <w:b/>
                <w:sz w:val="22"/>
                <w:szCs w:val="22"/>
              </w:rPr>
              <w:t xml:space="preserve">NACADA Strategic Goal(s) </w:t>
            </w:r>
          </w:p>
          <w:p w:rsidR="004F0111" w:rsidRDefault="004F0111" w:rsidP="0061007D">
            <w:pPr>
              <w:rPr>
                <w:sz w:val="18"/>
                <w:szCs w:val="18"/>
              </w:rPr>
            </w:pPr>
            <w:r w:rsidRPr="004F0111">
              <w:rPr>
                <w:sz w:val="18"/>
                <w:szCs w:val="18"/>
              </w:rPr>
              <w:t>(List strategic goal(s) to which the outcome is related)</w:t>
            </w:r>
          </w:p>
          <w:p w:rsidR="00073129" w:rsidRDefault="00073129" w:rsidP="0061007D">
            <w:pPr>
              <w:rPr>
                <w:sz w:val="18"/>
                <w:szCs w:val="18"/>
              </w:rPr>
            </w:pPr>
          </w:p>
          <w:p w:rsidR="00073129" w:rsidRDefault="00073129" w:rsidP="0061007D">
            <w:pPr>
              <w:rPr>
                <w:sz w:val="18"/>
                <w:szCs w:val="18"/>
              </w:rPr>
            </w:pPr>
          </w:p>
          <w:p w:rsidR="00073129" w:rsidRDefault="00073129" w:rsidP="0061007D">
            <w:pPr>
              <w:rPr>
                <w:sz w:val="18"/>
                <w:szCs w:val="18"/>
              </w:rPr>
            </w:pPr>
          </w:p>
          <w:p w:rsidR="00073129" w:rsidRPr="004F0111" w:rsidRDefault="00073129" w:rsidP="0061007D">
            <w:pPr>
              <w:rPr>
                <w:sz w:val="18"/>
                <w:szCs w:val="18"/>
              </w:rPr>
            </w:pPr>
          </w:p>
        </w:tc>
        <w:tc>
          <w:tcPr>
            <w:tcW w:w="1710" w:type="dxa"/>
          </w:tcPr>
          <w:p w:rsidR="004F0111" w:rsidRPr="004F0111" w:rsidRDefault="0044435D" w:rsidP="00690BF6">
            <w:pPr>
              <w:rPr>
                <w:b/>
                <w:sz w:val="22"/>
                <w:szCs w:val="22"/>
              </w:rPr>
            </w:pPr>
            <w:r>
              <w:rPr>
                <w:b/>
                <w:sz w:val="22"/>
                <w:szCs w:val="22"/>
              </w:rPr>
              <w:t>Specific desired o</w:t>
            </w:r>
            <w:r w:rsidR="004F0111" w:rsidRPr="004F0111">
              <w:rPr>
                <w:b/>
                <w:sz w:val="22"/>
                <w:szCs w:val="22"/>
              </w:rPr>
              <w:t xml:space="preserve">utcome </w:t>
            </w:r>
          </w:p>
          <w:p w:rsidR="004F0111" w:rsidRDefault="004F0111" w:rsidP="003470A9">
            <w:pPr>
              <w:rPr>
                <w:sz w:val="18"/>
                <w:szCs w:val="18"/>
              </w:rPr>
            </w:pPr>
            <w:r w:rsidRPr="004F0111">
              <w:rPr>
                <w:sz w:val="18"/>
                <w:szCs w:val="18"/>
              </w:rPr>
              <w:t>(What you want to occur as a result of your efforts; what you want someone to know, do, or value)</w:t>
            </w:r>
          </w:p>
          <w:p w:rsidR="00073129" w:rsidRDefault="00073129" w:rsidP="003470A9">
            <w:pPr>
              <w:rPr>
                <w:sz w:val="18"/>
                <w:szCs w:val="18"/>
              </w:rPr>
            </w:pPr>
          </w:p>
          <w:p w:rsidR="00073129" w:rsidRDefault="00073129" w:rsidP="003470A9">
            <w:pPr>
              <w:rPr>
                <w:sz w:val="18"/>
                <w:szCs w:val="18"/>
              </w:rPr>
            </w:pPr>
          </w:p>
          <w:p w:rsidR="00073129" w:rsidRPr="004F0111" w:rsidRDefault="00073129" w:rsidP="003470A9">
            <w:pPr>
              <w:rPr>
                <w:sz w:val="18"/>
                <w:szCs w:val="18"/>
              </w:rPr>
            </w:pPr>
          </w:p>
        </w:tc>
        <w:tc>
          <w:tcPr>
            <w:tcW w:w="2160" w:type="dxa"/>
          </w:tcPr>
          <w:p w:rsidR="004F0111" w:rsidRDefault="004F0111" w:rsidP="00AF4D83">
            <w:pPr>
              <w:rPr>
                <w:b/>
                <w:sz w:val="22"/>
                <w:szCs w:val="22"/>
              </w:rPr>
            </w:pPr>
            <w:r w:rsidRPr="004F0111">
              <w:rPr>
                <w:b/>
                <w:sz w:val="22"/>
                <w:szCs w:val="22"/>
              </w:rPr>
              <w:t xml:space="preserve">Actions, </w:t>
            </w:r>
            <w:r w:rsidR="0044435D">
              <w:rPr>
                <w:b/>
                <w:sz w:val="22"/>
                <w:szCs w:val="22"/>
              </w:rPr>
              <w:t>a</w:t>
            </w:r>
            <w:r w:rsidRPr="004F0111">
              <w:rPr>
                <w:b/>
                <w:sz w:val="22"/>
                <w:szCs w:val="22"/>
              </w:rPr>
              <w:t>ctivities</w:t>
            </w:r>
            <w:r w:rsidR="001828AE">
              <w:rPr>
                <w:b/>
                <w:sz w:val="22"/>
                <w:szCs w:val="22"/>
              </w:rPr>
              <w:t>,</w:t>
            </w:r>
            <w:r w:rsidRPr="004F0111">
              <w:rPr>
                <w:b/>
                <w:sz w:val="22"/>
                <w:szCs w:val="22"/>
              </w:rPr>
              <w:t xml:space="preserve"> or</w:t>
            </w:r>
            <w:r w:rsidR="00861A09">
              <w:rPr>
                <w:b/>
                <w:sz w:val="22"/>
                <w:szCs w:val="22"/>
              </w:rPr>
              <w:t xml:space="preserve"> </w:t>
            </w:r>
            <w:r w:rsidR="0044435D">
              <w:rPr>
                <w:b/>
                <w:sz w:val="22"/>
                <w:szCs w:val="22"/>
              </w:rPr>
              <w:t>opportunities for outcome to o</w:t>
            </w:r>
            <w:r w:rsidRPr="004F0111">
              <w:rPr>
                <w:b/>
                <w:sz w:val="22"/>
                <w:szCs w:val="22"/>
              </w:rPr>
              <w:t>ccur</w:t>
            </w:r>
          </w:p>
          <w:p w:rsidR="004F0111" w:rsidRDefault="004F0111" w:rsidP="00AF4D83">
            <w:pPr>
              <w:rPr>
                <w:sz w:val="18"/>
                <w:szCs w:val="18"/>
              </w:rPr>
            </w:pPr>
            <w:r w:rsidRPr="004F0111">
              <w:rPr>
                <w:sz w:val="18"/>
                <w:szCs w:val="18"/>
              </w:rPr>
              <w:t>(What processes need to be in place to achieve desired outcome)</w:t>
            </w:r>
          </w:p>
          <w:p w:rsidR="00073129" w:rsidRDefault="00073129" w:rsidP="00AF4D83">
            <w:pPr>
              <w:rPr>
                <w:sz w:val="18"/>
                <w:szCs w:val="18"/>
              </w:rPr>
            </w:pPr>
          </w:p>
          <w:p w:rsidR="00073129" w:rsidRDefault="00073129" w:rsidP="00AF4D83">
            <w:pPr>
              <w:rPr>
                <w:sz w:val="18"/>
                <w:szCs w:val="18"/>
              </w:rPr>
            </w:pPr>
          </w:p>
          <w:p w:rsidR="00073129" w:rsidRDefault="00073129" w:rsidP="00AF4D83">
            <w:pPr>
              <w:rPr>
                <w:sz w:val="18"/>
                <w:szCs w:val="18"/>
              </w:rPr>
            </w:pPr>
          </w:p>
          <w:p w:rsidR="00073129" w:rsidRPr="004F0111" w:rsidRDefault="00073129" w:rsidP="00AF4D83">
            <w:pPr>
              <w:rPr>
                <w:sz w:val="22"/>
                <w:szCs w:val="22"/>
              </w:rPr>
            </w:pPr>
          </w:p>
        </w:tc>
        <w:tc>
          <w:tcPr>
            <w:tcW w:w="2160" w:type="dxa"/>
          </w:tcPr>
          <w:p w:rsidR="004F0111" w:rsidRPr="004F0111" w:rsidRDefault="0044435D" w:rsidP="00C30985">
            <w:pPr>
              <w:rPr>
                <w:b/>
                <w:sz w:val="22"/>
                <w:szCs w:val="22"/>
              </w:rPr>
            </w:pPr>
            <w:r>
              <w:rPr>
                <w:b/>
                <w:sz w:val="22"/>
                <w:szCs w:val="22"/>
              </w:rPr>
              <w:t>Outcome measurements &amp; r</w:t>
            </w:r>
            <w:r w:rsidR="004F0111" w:rsidRPr="004F0111">
              <w:rPr>
                <w:b/>
                <w:sz w:val="22"/>
                <w:szCs w:val="22"/>
              </w:rPr>
              <w:t xml:space="preserve">elated </w:t>
            </w:r>
            <w:r>
              <w:rPr>
                <w:b/>
                <w:sz w:val="22"/>
                <w:szCs w:val="22"/>
              </w:rPr>
              <w:t>data i</w:t>
            </w:r>
            <w:r w:rsidR="004F0111" w:rsidRPr="004F0111">
              <w:rPr>
                <w:b/>
                <w:sz w:val="22"/>
                <w:szCs w:val="22"/>
              </w:rPr>
              <w:t>nstrument(s)</w:t>
            </w:r>
          </w:p>
          <w:p w:rsidR="004F0111" w:rsidRDefault="004F0111" w:rsidP="00C30985">
            <w:pPr>
              <w:rPr>
                <w:sz w:val="18"/>
                <w:szCs w:val="18"/>
              </w:rPr>
            </w:pPr>
            <w:r w:rsidRPr="004F0111">
              <w:rPr>
                <w:sz w:val="18"/>
                <w:szCs w:val="18"/>
              </w:rPr>
              <w:t>(How you will specifically measure for the outcome and any instruments you will specifically use e.g. survey, focus group)</w:t>
            </w:r>
          </w:p>
          <w:p w:rsidR="00073129" w:rsidRDefault="00073129" w:rsidP="00C30985">
            <w:pPr>
              <w:rPr>
                <w:sz w:val="18"/>
                <w:szCs w:val="18"/>
              </w:rPr>
            </w:pPr>
          </w:p>
          <w:p w:rsidR="00073129" w:rsidRPr="004F0111" w:rsidRDefault="00073129" w:rsidP="00C30985">
            <w:pPr>
              <w:rPr>
                <w:b/>
                <w:sz w:val="18"/>
                <w:szCs w:val="18"/>
              </w:rPr>
            </w:pPr>
          </w:p>
        </w:tc>
        <w:tc>
          <w:tcPr>
            <w:tcW w:w="2160" w:type="dxa"/>
          </w:tcPr>
          <w:p w:rsidR="00187B02" w:rsidRDefault="0044435D">
            <w:pPr>
              <w:rPr>
                <w:b/>
                <w:sz w:val="22"/>
                <w:szCs w:val="22"/>
              </w:rPr>
            </w:pPr>
            <w:r>
              <w:rPr>
                <w:b/>
                <w:sz w:val="22"/>
                <w:szCs w:val="22"/>
              </w:rPr>
              <w:t>Other groups or i</w:t>
            </w:r>
            <w:r w:rsidR="00861A09">
              <w:rPr>
                <w:b/>
                <w:sz w:val="22"/>
                <w:szCs w:val="22"/>
              </w:rPr>
              <w:t>ndividuals</w:t>
            </w:r>
            <w:r>
              <w:rPr>
                <w:b/>
                <w:sz w:val="22"/>
                <w:szCs w:val="22"/>
              </w:rPr>
              <w:t xml:space="preserve"> </w:t>
            </w:r>
            <w:r w:rsidR="00861A09">
              <w:rPr>
                <w:b/>
                <w:sz w:val="22"/>
                <w:szCs w:val="22"/>
              </w:rPr>
              <w:t>(</w:t>
            </w:r>
            <w:r w:rsidR="00187B02">
              <w:rPr>
                <w:b/>
                <w:sz w:val="22"/>
                <w:szCs w:val="22"/>
              </w:rPr>
              <w:t xml:space="preserve">if </w:t>
            </w:r>
            <w:r w:rsidR="00861A09">
              <w:rPr>
                <w:b/>
                <w:sz w:val="22"/>
                <w:szCs w:val="22"/>
              </w:rPr>
              <w:t>any)</w:t>
            </w:r>
            <w:r>
              <w:rPr>
                <w:b/>
                <w:sz w:val="22"/>
                <w:szCs w:val="22"/>
              </w:rPr>
              <w:t xml:space="preserve"> to c</w:t>
            </w:r>
            <w:r w:rsidR="00187B02">
              <w:rPr>
                <w:b/>
                <w:sz w:val="22"/>
                <w:szCs w:val="22"/>
              </w:rPr>
              <w:t>onnect with i</w:t>
            </w:r>
            <w:r>
              <w:rPr>
                <w:b/>
                <w:sz w:val="22"/>
                <w:szCs w:val="22"/>
              </w:rPr>
              <w:t>n a</w:t>
            </w:r>
            <w:r w:rsidR="00187B02">
              <w:rPr>
                <w:b/>
                <w:sz w:val="22"/>
                <w:szCs w:val="22"/>
              </w:rPr>
              <w:t>chieving</w:t>
            </w:r>
            <w:r>
              <w:rPr>
                <w:b/>
                <w:sz w:val="22"/>
                <w:szCs w:val="22"/>
              </w:rPr>
              <w:t xml:space="preserve"> this o</w:t>
            </w:r>
            <w:r w:rsidR="00187B02">
              <w:rPr>
                <w:b/>
                <w:sz w:val="22"/>
                <w:szCs w:val="22"/>
              </w:rPr>
              <w:t>utcome</w:t>
            </w:r>
          </w:p>
          <w:p w:rsidR="00187B02" w:rsidRDefault="00187B02" w:rsidP="0044435D">
            <w:pPr>
              <w:rPr>
                <w:sz w:val="18"/>
                <w:szCs w:val="18"/>
              </w:rPr>
            </w:pPr>
            <w:r w:rsidRPr="00861A09">
              <w:rPr>
                <w:sz w:val="18"/>
                <w:szCs w:val="18"/>
              </w:rPr>
              <w:t>(</w:t>
            </w:r>
            <w:r w:rsidR="0044435D">
              <w:rPr>
                <w:sz w:val="18"/>
                <w:szCs w:val="18"/>
              </w:rPr>
              <w:t>List any plans or oppor-tunities for c</w:t>
            </w:r>
            <w:r w:rsidRPr="00861A09">
              <w:rPr>
                <w:sz w:val="18"/>
                <w:szCs w:val="18"/>
              </w:rPr>
              <w:t>ollaboration with other</w:t>
            </w:r>
            <w:r w:rsidR="0044435D">
              <w:rPr>
                <w:sz w:val="18"/>
                <w:szCs w:val="18"/>
              </w:rPr>
              <w:t xml:space="preserve"> </w:t>
            </w:r>
            <w:r w:rsidRPr="00861A09">
              <w:rPr>
                <w:sz w:val="18"/>
                <w:szCs w:val="18"/>
              </w:rPr>
              <w:t>Committees, Advisory</w:t>
            </w:r>
            <w:r w:rsidR="0044435D">
              <w:rPr>
                <w:sz w:val="18"/>
                <w:szCs w:val="18"/>
              </w:rPr>
              <w:t xml:space="preserve"> </w:t>
            </w:r>
            <w:r w:rsidRPr="00861A09">
              <w:rPr>
                <w:sz w:val="18"/>
                <w:szCs w:val="18"/>
              </w:rPr>
              <w:t>Boards or units</w:t>
            </w:r>
            <w:r w:rsidR="00861A09">
              <w:rPr>
                <w:sz w:val="18"/>
                <w:szCs w:val="18"/>
              </w:rPr>
              <w:t xml:space="preserve"> regarding this outcome</w:t>
            </w:r>
            <w:r w:rsidRPr="00861A09">
              <w:rPr>
                <w:sz w:val="18"/>
                <w:szCs w:val="18"/>
              </w:rPr>
              <w:t>)</w:t>
            </w:r>
          </w:p>
          <w:p w:rsidR="00073129" w:rsidRPr="00187B02" w:rsidRDefault="00073129" w:rsidP="0044435D">
            <w:pPr>
              <w:rPr>
                <w:b/>
                <w:sz w:val="18"/>
                <w:szCs w:val="18"/>
              </w:rPr>
            </w:pPr>
          </w:p>
        </w:tc>
        <w:tc>
          <w:tcPr>
            <w:tcW w:w="2070" w:type="dxa"/>
          </w:tcPr>
          <w:p w:rsidR="004F0111" w:rsidRDefault="00861A09" w:rsidP="0011660F">
            <w:pPr>
              <w:rPr>
                <w:b/>
                <w:sz w:val="22"/>
                <w:szCs w:val="22"/>
              </w:rPr>
            </w:pPr>
            <w:r>
              <w:rPr>
                <w:b/>
                <w:sz w:val="22"/>
                <w:szCs w:val="22"/>
              </w:rPr>
              <w:t>Challenges (if any)</w:t>
            </w:r>
          </w:p>
          <w:p w:rsidR="00861A09" w:rsidRDefault="0044435D" w:rsidP="0011660F">
            <w:pPr>
              <w:rPr>
                <w:b/>
                <w:sz w:val="22"/>
                <w:szCs w:val="22"/>
              </w:rPr>
            </w:pPr>
            <w:r>
              <w:rPr>
                <w:b/>
                <w:sz w:val="22"/>
                <w:szCs w:val="22"/>
              </w:rPr>
              <w:t>a</w:t>
            </w:r>
            <w:r w:rsidR="00861A09">
              <w:rPr>
                <w:b/>
                <w:sz w:val="22"/>
                <w:szCs w:val="22"/>
              </w:rPr>
              <w:t xml:space="preserve">nticipated in </w:t>
            </w:r>
          </w:p>
          <w:p w:rsidR="00861A09" w:rsidRDefault="0044435D" w:rsidP="0011660F">
            <w:pPr>
              <w:rPr>
                <w:b/>
                <w:sz w:val="22"/>
                <w:szCs w:val="22"/>
              </w:rPr>
            </w:pPr>
            <w:r>
              <w:rPr>
                <w:b/>
                <w:sz w:val="22"/>
                <w:szCs w:val="22"/>
              </w:rPr>
              <w:t>achieving t</w:t>
            </w:r>
            <w:r w:rsidR="00861A09">
              <w:rPr>
                <w:b/>
                <w:sz w:val="22"/>
                <w:szCs w:val="22"/>
              </w:rPr>
              <w:t xml:space="preserve">his </w:t>
            </w:r>
          </w:p>
          <w:p w:rsidR="00861A09" w:rsidRDefault="0044435D" w:rsidP="0011660F">
            <w:pPr>
              <w:rPr>
                <w:b/>
                <w:sz w:val="22"/>
                <w:szCs w:val="22"/>
              </w:rPr>
            </w:pPr>
            <w:r>
              <w:rPr>
                <w:b/>
                <w:sz w:val="22"/>
                <w:szCs w:val="22"/>
              </w:rPr>
              <w:t>o</w:t>
            </w:r>
            <w:r w:rsidR="00861A09">
              <w:rPr>
                <w:b/>
                <w:sz w:val="22"/>
                <w:szCs w:val="22"/>
              </w:rPr>
              <w:t>utcome</w:t>
            </w:r>
          </w:p>
          <w:p w:rsidR="00861A09" w:rsidRDefault="00861A09" w:rsidP="0011660F">
            <w:pPr>
              <w:rPr>
                <w:sz w:val="18"/>
                <w:szCs w:val="18"/>
              </w:rPr>
            </w:pPr>
            <w:r>
              <w:rPr>
                <w:sz w:val="18"/>
                <w:szCs w:val="18"/>
              </w:rPr>
              <w:t>(How you plan to address</w:t>
            </w:r>
            <w:r w:rsidR="0044435D">
              <w:rPr>
                <w:sz w:val="18"/>
                <w:szCs w:val="18"/>
              </w:rPr>
              <w:t xml:space="preserve"> </w:t>
            </w:r>
          </w:p>
          <w:p w:rsidR="0044435D" w:rsidRDefault="0044435D" w:rsidP="0011660F">
            <w:pPr>
              <w:rPr>
                <w:sz w:val="18"/>
                <w:szCs w:val="18"/>
              </w:rPr>
            </w:pPr>
            <w:r>
              <w:rPr>
                <w:sz w:val="18"/>
                <w:szCs w:val="18"/>
              </w:rPr>
              <w:t>difficulties that may arise as you work to achieve the outcome)</w:t>
            </w:r>
          </w:p>
          <w:p w:rsidR="00073129" w:rsidRDefault="00073129" w:rsidP="0011660F">
            <w:pPr>
              <w:rPr>
                <w:sz w:val="18"/>
                <w:szCs w:val="18"/>
              </w:rPr>
            </w:pPr>
          </w:p>
          <w:p w:rsidR="00073129" w:rsidRDefault="00073129" w:rsidP="0011660F">
            <w:pPr>
              <w:rPr>
                <w:sz w:val="18"/>
                <w:szCs w:val="18"/>
              </w:rPr>
            </w:pPr>
          </w:p>
          <w:p w:rsidR="00861A09" w:rsidRPr="00861A09" w:rsidRDefault="00861A09" w:rsidP="0011660F">
            <w:pPr>
              <w:rPr>
                <w:sz w:val="18"/>
                <w:szCs w:val="18"/>
              </w:rPr>
            </w:pPr>
          </w:p>
        </w:tc>
        <w:tc>
          <w:tcPr>
            <w:tcW w:w="1260" w:type="dxa"/>
          </w:tcPr>
          <w:p w:rsidR="004F0111" w:rsidRPr="00DB5CCC" w:rsidRDefault="004F0111" w:rsidP="0011660F">
            <w:pPr>
              <w:rPr>
                <w:b/>
                <w:sz w:val="22"/>
                <w:szCs w:val="22"/>
              </w:rPr>
            </w:pPr>
            <w:r w:rsidRPr="00DB5CCC">
              <w:rPr>
                <w:b/>
                <w:sz w:val="22"/>
                <w:szCs w:val="22"/>
              </w:rPr>
              <w:t>Progress</w:t>
            </w:r>
            <w:r w:rsidR="0044435D" w:rsidRPr="00DB5CCC">
              <w:rPr>
                <w:b/>
                <w:sz w:val="22"/>
                <w:szCs w:val="22"/>
              </w:rPr>
              <w:t xml:space="preserve"> t</w:t>
            </w:r>
            <w:r w:rsidRPr="00DB5CCC">
              <w:rPr>
                <w:b/>
                <w:sz w:val="22"/>
                <w:szCs w:val="22"/>
              </w:rPr>
              <w:t>oward</w:t>
            </w:r>
          </w:p>
          <w:p w:rsidR="004F0111" w:rsidRPr="00DB5CCC" w:rsidRDefault="0044435D" w:rsidP="0011660F">
            <w:pPr>
              <w:rPr>
                <w:b/>
                <w:sz w:val="22"/>
                <w:szCs w:val="22"/>
              </w:rPr>
            </w:pPr>
            <w:r w:rsidRPr="00DB5CCC">
              <w:rPr>
                <w:b/>
                <w:sz w:val="22"/>
                <w:szCs w:val="22"/>
              </w:rPr>
              <w:t>achieving o</w:t>
            </w:r>
            <w:r w:rsidR="004F0111" w:rsidRPr="00DB5CCC">
              <w:rPr>
                <w:b/>
                <w:sz w:val="22"/>
                <w:szCs w:val="22"/>
              </w:rPr>
              <w:t>utcome</w:t>
            </w:r>
          </w:p>
          <w:p w:rsidR="004F0111" w:rsidRPr="00DB5CCC" w:rsidRDefault="00AD0B5E" w:rsidP="0011660F">
            <w:pPr>
              <w:rPr>
                <w:b/>
                <w:sz w:val="22"/>
                <w:szCs w:val="22"/>
              </w:rPr>
            </w:pPr>
            <w:r w:rsidRPr="00DB5CCC">
              <w:rPr>
                <w:b/>
                <w:sz w:val="22"/>
                <w:szCs w:val="22"/>
              </w:rPr>
              <w:t>(c</w:t>
            </w:r>
            <w:r w:rsidR="004F0111" w:rsidRPr="00DB5CCC">
              <w:rPr>
                <w:b/>
                <w:sz w:val="22"/>
                <w:szCs w:val="22"/>
              </w:rPr>
              <w:t xml:space="preserve">ompleted </w:t>
            </w:r>
            <w:r w:rsidR="00DB5CCC" w:rsidRPr="00DB5CCC">
              <w:rPr>
                <w:b/>
                <w:sz w:val="22"/>
                <w:szCs w:val="22"/>
              </w:rPr>
              <w:t xml:space="preserve">for the </w:t>
            </w:r>
            <w:r w:rsidR="004F0111" w:rsidRPr="00DB5CCC">
              <w:rPr>
                <w:b/>
                <w:sz w:val="22"/>
                <w:szCs w:val="22"/>
              </w:rPr>
              <w:t xml:space="preserve"> </w:t>
            </w:r>
          </w:p>
          <w:p w:rsidR="004F0111" w:rsidRPr="00DB5CCC" w:rsidRDefault="00074C7D" w:rsidP="0011660F">
            <w:pPr>
              <w:rPr>
                <w:b/>
                <w:sz w:val="22"/>
                <w:szCs w:val="22"/>
              </w:rPr>
            </w:pPr>
            <w:r>
              <w:rPr>
                <w:b/>
                <w:sz w:val="22"/>
                <w:szCs w:val="22"/>
              </w:rPr>
              <w:t>August</w:t>
            </w:r>
            <w:r w:rsidR="00DB5CCC" w:rsidRPr="00DB5CCC">
              <w:rPr>
                <w:b/>
                <w:sz w:val="22"/>
                <w:szCs w:val="22"/>
              </w:rPr>
              <w:t xml:space="preserve"> 2019</w:t>
            </w:r>
          </w:p>
          <w:p w:rsidR="004F0111" w:rsidRPr="00DB5CCC" w:rsidRDefault="004F0111" w:rsidP="0011660F">
            <w:pPr>
              <w:rPr>
                <w:b/>
                <w:sz w:val="22"/>
                <w:szCs w:val="22"/>
              </w:rPr>
            </w:pPr>
            <w:r w:rsidRPr="00DB5CCC">
              <w:rPr>
                <w:b/>
                <w:sz w:val="22"/>
                <w:szCs w:val="22"/>
              </w:rPr>
              <w:t>report)</w:t>
            </w:r>
          </w:p>
        </w:tc>
        <w:tc>
          <w:tcPr>
            <w:tcW w:w="1440" w:type="dxa"/>
          </w:tcPr>
          <w:p w:rsidR="004F0111" w:rsidRPr="00DB5CCC" w:rsidRDefault="0044435D" w:rsidP="0011660F">
            <w:pPr>
              <w:rPr>
                <w:b/>
                <w:szCs w:val="22"/>
              </w:rPr>
            </w:pPr>
            <w:r w:rsidRPr="00DB5CCC">
              <w:rPr>
                <w:b/>
                <w:szCs w:val="22"/>
              </w:rPr>
              <w:t>Future a</w:t>
            </w:r>
            <w:r w:rsidR="004F0111" w:rsidRPr="00DB5CCC">
              <w:rPr>
                <w:b/>
                <w:szCs w:val="22"/>
              </w:rPr>
              <w:t>ction(s)</w:t>
            </w:r>
          </w:p>
          <w:p w:rsidR="004F0111" w:rsidRPr="00DB5CCC" w:rsidRDefault="0044435D" w:rsidP="0011660F">
            <w:pPr>
              <w:rPr>
                <w:b/>
                <w:szCs w:val="22"/>
              </w:rPr>
            </w:pPr>
            <w:r w:rsidRPr="00DB5CCC">
              <w:rPr>
                <w:b/>
                <w:szCs w:val="22"/>
              </w:rPr>
              <w:t>based on d</w:t>
            </w:r>
            <w:r w:rsidR="004F0111" w:rsidRPr="00DB5CCC">
              <w:rPr>
                <w:b/>
                <w:szCs w:val="22"/>
              </w:rPr>
              <w:t>ata</w:t>
            </w:r>
          </w:p>
          <w:p w:rsidR="004F0111" w:rsidRPr="00DB5CCC" w:rsidRDefault="004F0111" w:rsidP="0011660F">
            <w:pPr>
              <w:rPr>
                <w:sz w:val="18"/>
                <w:szCs w:val="18"/>
              </w:rPr>
            </w:pPr>
            <w:r w:rsidRPr="00DB5CCC">
              <w:rPr>
                <w:sz w:val="18"/>
                <w:szCs w:val="18"/>
              </w:rPr>
              <w:t>(Data-informed decisions)</w:t>
            </w:r>
          </w:p>
          <w:p w:rsidR="004F0111" w:rsidRPr="00DB5CCC" w:rsidRDefault="00AD0B5E" w:rsidP="0011660F">
            <w:pPr>
              <w:rPr>
                <w:b/>
                <w:sz w:val="22"/>
                <w:szCs w:val="22"/>
              </w:rPr>
            </w:pPr>
            <w:r w:rsidRPr="00DB5CCC">
              <w:rPr>
                <w:b/>
                <w:sz w:val="22"/>
                <w:szCs w:val="22"/>
              </w:rPr>
              <w:t>(</w:t>
            </w:r>
            <w:r w:rsidR="004F0111" w:rsidRPr="00DB5CCC">
              <w:rPr>
                <w:b/>
                <w:sz w:val="22"/>
                <w:szCs w:val="22"/>
              </w:rPr>
              <w:t xml:space="preserve">completed </w:t>
            </w:r>
            <w:r w:rsidR="00DB5CCC" w:rsidRPr="00DB5CCC">
              <w:rPr>
                <w:b/>
                <w:sz w:val="22"/>
                <w:szCs w:val="22"/>
              </w:rPr>
              <w:t xml:space="preserve">for the </w:t>
            </w:r>
            <w:r w:rsidR="004F0111" w:rsidRPr="00DB5CCC">
              <w:rPr>
                <w:b/>
                <w:sz w:val="22"/>
                <w:szCs w:val="22"/>
              </w:rPr>
              <w:t xml:space="preserve"> </w:t>
            </w:r>
          </w:p>
          <w:p w:rsidR="004F0111" w:rsidRPr="00DB5CCC" w:rsidRDefault="00074C7D" w:rsidP="00DB5CCC">
            <w:pPr>
              <w:rPr>
                <w:b/>
                <w:sz w:val="22"/>
                <w:szCs w:val="22"/>
              </w:rPr>
            </w:pPr>
            <w:r>
              <w:rPr>
                <w:b/>
                <w:sz w:val="22"/>
                <w:szCs w:val="22"/>
              </w:rPr>
              <w:t>Aug</w:t>
            </w:r>
            <w:r w:rsidR="00DB5CCC" w:rsidRPr="00DB5CCC">
              <w:rPr>
                <w:b/>
                <w:sz w:val="22"/>
                <w:szCs w:val="22"/>
              </w:rPr>
              <w:t xml:space="preserve">. 2019 </w:t>
            </w:r>
            <w:r w:rsidR="004F0111" w:rsidRPr="00DB5CCC">
              <w:rPr>
                <w:b/>
                <w:sz w:val="22"/>
                <w:szCs w:val="22"/>
              </w:rPr>
              <w:t>report)</w:t>
            </w:r>
          </w:p>
        </w:tc>
      </w:tr>
      <w:tr w:rsidR="004F0111" w:rsidRPr="00EB2AEC" w:rsidTr="00DB5CCC">
        <w:trPr>
          <w:trHeight w:val="2487"/>
        </w:trPr>
        <w:tc>
          <w:tcPr>
            <w:tcW w:w="1638" w:type="dxa"/>
          </w:tcPr>
          <w:p w:rsidR="004F0111" w:rsidRPr="004F0111" w:rsidRDefault="004F0111" w:rsidP="0061007D">
            <w:pPr>
              <w:rPr>
                <w:b/>
                <w:sz w:val="22"/>
                <w:szCs w:val="22"/>
              </w:rPr>
            </w:pPr>
          </w:p>
          <w:p w:rsidR="00307654" w:rsidRPr="004F0111" w:rsidRDefault="00F30563" w:rsidP="002A42D9">
            <w:pPr>
              <w:rPr>
                <w:b/>
                <w:sz w:val="22"/>
                <w:szCs w:val="22"/>
              </w:rPr>
            </w:pPr>
            <w:r>
              <w:rPr>
                <w:rFonts w:asciiTheme="minorHAnsi" w:hAnsiTheme="minorHAnsi"/>
                <w:sz w:val="18"/>
                <w:szCs w:val="22"/>
              </w:rPr>
              <w:t>SG #2 and SG #4</w:t>
            </w:r>
          </w:p>
        </w:tc>
        <w:tc>
          <w:tcPr>
            <w:tcW w:w="1710" w:type="dxa"/>
          </w:tcPr>
          <w:p w:rsidR="004F0111" w:rsidRPr="00F30563" w:rsidRDefault="004F0111" w:rsidP="00690BF6">
            <w:pPr>
              <w:rPr>
                <w:b/>
                <w:sz w:val="18"/>
                <w:szCs w:val="18"/>
              </w:rPr>
            </w:pPr>
          </w:p>
          <w:p w:rsidR="00307654" w:rsidRPr="00F30563" w:rsidRDefault="00F30563" w:rsidP="00690BF6">
            <w:pPr>
              <w:rPr>
                <w:sz w:val="18"/>
                <w:szCs w:val="18"/>
              </w:rPr>
            </w:pPr>
            <w:r w:rsidRPr="00F30563">
              <w:rPr>
                <w:sz w:val="18"/>
                <w:szCs w:val="18"/>
              </w:rPr>
              <w:t>Make recommendation</w:t>
            </w:r>
            <w:r>
              <w:rPr>
                <w:sz w:val="18"/>
                <w:szCs w:val="18"/>
              </w:rPr>
              <w:t>s</w:t>
            </w:r>
            <w:r w:rsidRPr="00F30563">
              <w:rPr>
                <w:sz w:val="18"/>
                <w:szCs w:val="18"/>
              </w:rPr>
              <w:t xml:space="preserve"> to the Administrative Division Representatives </w:t>
            </w:r>
            <w:r>
              <w:rPr>
                <w:sz w:val="18"/>
                <w:szCs w:val="18"/>
              </w:rPr>
              <w:t>regarding the launch of the Visiting Advisor Program</w:t>
            </w:r>
            <w:r w:rsidR="003D2EE3">
              <w:rPr>
                <w:sz w:val="18"/>
                <w:szCs w:val="18"/>
              </w:rPr>
              <w:t xml:space="preserve"> (VAP)</w:t>
            </w:r>
          </w:p>
        </w:tc>
        <w:tc>
          <w:tcPr>
            <w:tcW w:w="2160" w:type="dxa"/>
          </w:tcPr>
          <w:p w:rsidR="00307654" w:rsidRPr="00F30563" w:rsidRDefault="00307654" w:rsidP="00AF4D83">
            <w:pPr>
              <w:rPr>
                <w:b/>
                <w:sz w:val="18"/>
                <w:szCs w:val="18"/>
              </w:rPr>
            </w:pPr>
          </w:p>
          <w:p w:rsidR="00307654" w:rsidRDefault="00022F51" w:rsidP="008352E4">
            <w:pPr>
              <w:pStyle w:val="ListParagraph"/>
              <w:numPr>
                <w:ilvl w:val="0"/>
                <w:numId w:val="1"/>
              </w:numPr>
              <w:rPr>
                <w:sz w:val="18"/>
                <w:szCs w:val="18"/>
              </w:rPr>
            </w:pPr>
            <w:r>
              <w:rPr>
                <w:sz w:val="18"/>
                <w:szCs w:val="18"/>
              </w:rPr>
              <w:t xml:space="preserve">Review the process of the Internship Connection </w:t>
            </w:r>
            <w:r w:rsidR="008352E4">
              <w:rPr>
                <w:sz w:val="18"/>
                <w:szCs w:val="18"/>
              </w:rPr>
              <w:t xml:space="preserve">to identify transferrable procedures. </w:t>
            </w:r>
          </w:p>
          <w:p w:rsidR="008352E4" w:rsidRDefault="003D2EE3" w:rsidP="008352E4">
            <w:pPr>
              <w:pStyle w:val="ListParagraph"/>
              <w:numPr>
                <w:ilvl w:val="0"/>
                <w:numId w:val="1"/>
              </w:numPr>
              <w:rPr>
                <w:sz w:val="18"/>
                <w:szCs w:val="18"/>
              </w:rPr>
            </w:pPr>
            <w:r>
              <w:rPr>
                <w:sz w:val="18"/>
                <w:szCs w:val="18"/>
              </w:rPr>
              <w:t>Develop implementation protocol for the VAP</w:t>
            </w:r>
          </w:p>
          <w:p w:rsidR="003D2EE3" w:rsidRDefault="003D2EE3" w:rsidP="008352E4">
            <w:pPr>
              <w:pStyle w:val="ListParagraph"/>
              <w:numPr>
                <w:ilvl w:val="0"/>
                <w:numId w:val="1"/>
              </w:numPr>
              <w:rPr>
                <w:sz w:val="18"/>
                <w:szCs w:val="18"/>
              </w:rPr>
            </w:pPr>
            <w:r>
              <w:rPr>
                <w:sz w:val="18"/>
                <w:szCs w:val="18"/>
              </w:rPr>
              <w:t>Make recommendations for the creation of an  appropriate website for the VAP</w:t>
            </w:r>
          </w:p>
          <w:p w:rsidR="00574187" w:rsidRPr="00F30563" w:rsidRDefault="00574187" w:rsidP="008352E4">
            <w:pPr>
              <w:pStyle w:val="ListParagraph"/>
              <w:numPr>
                <w:ilvl w:val="0"/>
                <w:numId w:val="1"/>
              </w:numPr>
              <w:rPr>
                <w:sz w:val="18"/>
                <w:szCs w:val="18"/>
              </w:rPr>
            </w:pPr>
            <w:r>
              <w:rPr>
                <w:sz w:val="18"/>
                <w:szCs w:val="18"/>
              </w:rPr>
              <w:t>Explore option of 5 associated scholarships of $2000 each to support program participation</w:t>
            </w:r>
          </w:p>
        </w:tc>
        <w:tc>
          <w:tcPr>
            <w:tcW w:w="2160" w:type="dxa"/>
          </w:tcPr>
          <w:p w:rsidR="004F0111" w:rsidRPr="00F30563" w:rsidRDefault="004F0111">
            <w:pPr>
              <w:rPr>
                <w:b/>
                <w:sz w:val="18"/>
                <w:szCs w:val="18"/>
              </w:rPr>
            </w:pPr>
          </w:p>
          <w:p w:rsidR="00307654" w:rsidRDefault="00574187" w:rsidP="00574187">
            <w:pPr>
              <w:pStyle w:val="ListParagraph"/>
              <w:numPr>
                <w:ilvl w:val="0"/>
                <w:numId w:val="2"/>
              </w:numPr>
              <w:rPr>
                <w:sz w:val="18"/>
                <w:szCs w:val="18"/>
              </w:rPr>
            </w:pPr>
            <w:r>
              <w:rPr>
                <w:sz w:val="18"/>
                <w:szCs w:val="18"/>
              </w:rPr>
              <w:t xml:space="preserve">Obtain processes involved in the Internship Connection </w:t>
            </w:r>
          </w:p>
          <w:p w:rsidR="00574187" w:rsidRDefault="00574187" w:rsidP="00574187">
            <w:pPr>
              <w:pStyle w:val="ListParagraph"/>
              <w:numPr>
                <w:ilvl w:val="0"/>
                <w:numId w:val="2"/>
              </w:numPr>
              <w:rPr>
                <w:sz w:val="18"/>
                <w:szCs w:val="18"/>
              </w:rPr>
            </w:pPr>
            <w:r>
              <w:rPr>
                <w:sz w:val="18"/>
                <w:szCs w:val="18"/>
              </w:rPr>
              <w:t>Provide clear outline of the website required for the VAP to the Administrative Division Reps</w:t>
            </w:r>
          </w:p>
          <w:p w:rsidR="00574187" w:rsidRPr="00574187" w:rsidRDefault="00574187" w:rsidP="00574187">
            <w:pPr>
              <w:pStyle w:val="ListParagraph"/>
              <w:numPr>
                <w:ilvl w:val="0"/>
                <w:numId w:val="2"/>
              </w:numPr>
              <w:rPr>
                <w:sz w:val="18"/>
                <w:szCs w:val="18"/>
              </w:rPr>
            </w:pPr>
            <w:r>
              <w:rPr>
                <w:sz w:val="18"/>
                <w:szCs w:val="18"/>
              </w:rPr>
              <w:t xml:space="preserve">Submit proposal to the Admin Division Reps for Finance Committee approval of the associated scholarships. </w:t>
            </w:r>
          </w:p>
        </w:tc>
        <w:tc>
          <w:tcPr>
            <w:tcW w:w="2160" w:type="dxa"/>
          </w:tcPr>
          <w:p w:rsidR="00307654" w:rsidRDefault="00307654">
            <w:pPr>
              <w:rPr>
                <w:sz w:val="18"/>
                <w:szCs w:val="18"/>
              </w:rPr>
            </w:pPr>
          </w:p>
          <w:p w:rsidR="00574187" w:rsidRDefault="00574187" w:rsidP="00574187">
            <w:pPr>
              <w:pStyle w:val="ListParagraph"/>
              <w:numPr>
                <w:ilvl w:val="0"/>
                <w:numId w:val="3"/>
              </w:numPr>
              <w:rPr>
                <w:sz w:val="18"/>
                <w:szCs w:val="18"/>
              </w:rPr>
            </w:pPr>
            <w:r>
              <w:rPr>
                <w:sz w:val="18"/>
                <w:szCs w:val="18"/>
              </w:rPr>
              <w:t>Administrative Division Representatives</w:t>
            </w:r>
          </w:p>
          <w:p w:rsidR="00574187" w:rsidRDefault="00574187" w:rsidP="00574187">
            <w:pPr>
              <w:pStyle w:val="ListParagraph"/>
              <w:numPr>
                <w:ilvl w:val="0"/>
                <w:numId w:val="3"/>
              </w:numPr>
              <w:rPr>
                <w:sz w:val="18"/>
                <w:szCs w:val="18"/>
              </w:rPr>
            </w:pPr>
            <w:r>
              <w:rPr>
                <w:sz w:val="18"/>
                <w:szCs w:val="18"/>
              </w:rPr>
              <w:t>Committees and Advisory Boards (as needed)</w:t>
            </w:r>
          </w:p>
          <w:p w:rsidR="00574187" w:rsidRDefault="00B83101" w:rsidP="00B83101">
            <w:pPr>
              <w:pStyle w:val="ListParagraph"/>
              <w:numPr>
                <w:ilvl w:val="0"/>
                <w:numId w:val="3"/>
              </w:numPr>
              <w:rPr>
                <w:sz w:val="18"/>
                <w:szCs w:val="18"/>
              </w:rPr>
            </w:pPr>
            <w:r>
              <w:rPr>
                <w:sz w:val="18"/>
                <w:szCs w:val="18"/>
              </w:rPr>
              <w:t xml:space="preserve">Leigh Cunningham in the Executive Office as it pertains to the Internship Connection. </w:t>
            </w:r>
          </w:p>
          <w:p w:rsidR="00B83101" w:rsidRPr="00574187" w:rsidRDefault="00B83101" w:rsidP="00B83101">
            <w:pPr>
              <w:pStyle w:val="ListParagraph"/>
              <w:numPr>
                <w:ilvl w:val="0"/>
                <w:numId w:val="3"/>
              </w:numPr>
              <w:rPr>
                <w:sz w:val="18"/>
                <w:szCs w:val="18"/>
              </w:rPr>
            </w:pPr>
            <w:r>
              <w:rPr>
                <w:sz w:val="18"/>
                <w:szCs w:val="18"/>
              </w:rPr>
              <w:t>Finance Committee (as needed)</w:t>
            </w:r>
          </w:p>
        </w:tc>
        <w:tc>
          <w:tcPr>
            <w:tcW w:w="2070" w:type="dxa"/>
          </w:tcPr>
          <w:p w:rsidR="004F0111" w:rsidRPr="00F30563" w:rsidRDefault="004F0111">
            <w:pPr>
              <w:rPr>
                <w:b/>
                <w:sz w:val="18"/>
                <w:szCs w:val="18"/>
              </w:rPr>
            </w:pPr>
          </w:p>
          <w:p w:rsidR="00307654" w:rsidRPr="00F30563" w:rsidRDefault="00307654" w:rsidP="000B3074">
            <w:pPr>
              <w:rPr>
                <w:sz w:val="18"/>
                <w:szCs w:val="18"/>
              </w:rPr>
            </w:pPr>
          </w:p>
        </w:tc>
        <w:tc>
          <w:tcPr>
            <w:tcW w:w="1260" w:type="dxa"/>
            <w:shd w:val="clear" w:color="auto" w:fill="D0CECE" w:themeFill="background2" w:themeFillShade="E6"/>
          </w:tcPr>
          <w:p w:rsidR="004F0111" w:rsidRPr="00F30563" w:rsidRDefault="004F0111">
            <w:pPr>
              <w:rPr>
                <w:b/>
                <w:sz w:val="18"/>
                <w:szCs w:val="18"/>
              </w:rPr>
            </w:pPr>
          </w:p>
        </w:tc>
        <w:tc>
          <w:tcPr>
            <w:tcW w:w="1440" w:type="dxa"/>
            <w:shd w:val="clear" w:color="auto" w:fill="D0CECE" w:themeFill="background2" w:themeFillShade="E6"/>
          </w:tcPr>
          <w:p w:rsidR="004F0111" w:rsidRPr="00F30563" w:rsidRDefault="004F0111">
            <w:pPr>
              <w:rPr>
                <w:b/>
                <w:sz w:val="18"/>
                <w:szCs w:val="18"/>
              </w:rPr>
            </w:pPr>
          </w:p>
        </w:tc>
      </w:tr>
    </w:tbl>
    <w:p w:rsidR="001A3993" w:rsidRDefault="001A3993" w:rsidP="007D7987">
      <w:pPr>
        <w:rPr>
          <w:b/>
          <w:color w:val="C00000"/>
        </w:rPr>
      </w:pPr>
    </w:p>
    <w:p w:rsidR="001A3993" w:rsidRDefault="001A3993" w:rsidP="007D7987">
      <w:pPr>
        <w:rPr>
          <w:b/>
          <w:color w:val="C00000"/>
        </w:rPr>
      </w:pPr>
    </w:p>
    <w:p w:rsidR="001A3993" w:rsidRPr="008317B4" w:rsidRDefault="001A3993" w:rsidP="007D7987">
      <w:pPr>
        <w:rPr>
          <w:b/>
          <w:color w:val="C00000"/>
        </w:rPr>
      </w:pPr>
    </w:p>
    <w:sectPr w:rsidR="001A3993" w:rsidRPr="008317B4" w:rsidSect="004D6569">
      <w:headerReference w:type="even" r:id="rId8"/>
      <w:head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A2" w:rsidRDefault="005336A2">
      <w:r>
        <w:separator/>
      </w:r>
    </w:p>
  </w:endnote>
  <w:endnote w:type="continuationSeparator" w:id="0">
    <w:p w:rsidR="005336A2" w:rsidRDefault="0053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A2" w:rsidRDefault="005336A2">
      <w:r>
        <w:separator/>
      </w:r>
    </w:p>
  </w:footnote>
  <w:footnote w:type="continuationSeparator" w:id="0">
    <w:p w:rsidR="005336A2" w:rsidRDefault="0053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90" w:rsidRDefault="00131DA1" w:rsidP="007544C6">
    <w:pPr>
      <w:pStyle w:val="Header"/>
      <w:framePr w:wrap="around" w:vAnchor="text" w:hAnchor="margin" w:xAlign="right" w:y="1"/>
      <w:rPr>
        <w:rStyle w:val="PageNumber"/>
      </w:rPr>
    </w:pPr>
    <w:r>
      <w:rPr>
        <w:rStyle w:val="PageNumber"/>
      </w:rPr>
      <w:fldChar w:fldCharType="begin"/>
    </w:r>
    <w:r w:rsidR="00921590">
      <w:rPr>
        <w:rStyle w:val="PageNumber"/>
      </w:rPr>
      <w:instrText xml:space="preserve">PAGE  </w:instrText>
    </w:r>
    <w:r>
      <w:rPr>
        <w:rStyle w:val="PageNumber"/>
      </w:rPr>
      <w:fldChar w:fldCharType="end"/>
    </w:r>
  </w:p>
  <w:p w:rsidR="00921590" w:rsidRDefault="00921590" w:rsidP="001629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90" w:rsidRDefault="00131DA1" w:rsidP="007544C6">
    <w:pPr>
      <w:pStyle w:val="Header"/>
      <w:framePr w:wrap="around" w:vAnchor="text" w:hAnchor="margin" w:xAlign="right" w:y="1"/>
      <w:rPr>
        <w:rStyle w:val="PageNumber"/>
      </w:rPr>
    </w:pPr>
    <w:r>
      <w:rPr>
        <w:rStyle w:val="PageNumber"/>
      </w:rPr>
      <w:fldChar w:fldCharType="begin"/>
    </w:r>
    <w:r w:rsidR="00921590">
      <w:rPr>
        <w:rStyle w:val="PageNumber"/>
      </w:rPr>
      <w:instrText xml:space="preserve">PAGE  </w:instrText>
    </w:r>
    <w:r>
      <w:rPr>
        <w:rStyle w:val="PageNumber"/>
      </w:rPr>
      <w:fldChar w:fldCharType="separate"/>
    </w:r>
    <w:r w:rsidR="009A5275">
      <w:rPr>
        <w:rStyle w:val="PageNumber"/>
        <w:noProof/>
      </w:rPr>
      <w:t>1</w:t>
    </w:r>
    <w:r>
      <w:rPr>
        <w:rStyle w:val="PageNumber"/>
      </w:rPr>
      <w:fldChar w:fldCharType="end"/>
    </w:r>
  </w:p>
  <w:p w:rsidR="00921590" w:rsidRDefault="00921590" w:rsidP="001629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4B4"/>
    <w:multiLevelType w:val="hybridMultilevel"/>
    <w:tmpl w:val="E8349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3E24"/>
    <w:multiLevelType w:val="hybridMultilevel"/>
    <w:tmpl w:val="9D844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739AD"/>
    <w:multiLevelType w:val="hybridMultilevel"/>
    <w:tmpl w:val="1E308250"/>
    <w:lvl w:ilvl="0" w:tplc="A2D070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52"/>
    <w:rsid w:val="00021AF8"/>
    <w:rsid w:val="00022F51"/>
    <w:rsid w:val="000270A7"/>
    <w:rsid w:val="00062155"/>
    <w:rsid w:val="000627C8"/>
    <w:rsid w:val="00073129"/>
    <w:rsid w:val="00074C7D"/>
    <w:rsid w:val="00091CCF"/>
    <w:rsid w:val="000A0DB8"/>
    <w:rsid w:val="000A7D92"/>
    <w:rsid w:val="000B3074"/>
    <w:rsid w:val="000C12D7"/>
    <w:rsid w:val="000C7DF3"/>
    <w:rsid w:val="000D398B"/>
    <w:rsid w:val="000F1738"/>
    <w:rsid w:val="00106714"/>
    <w:rsid w:val="0011660F"/>
    <w:rsid w:val="001217B8"/>
    <w:rsid w:val="001314A2"/>
    <w:rsid w:val="00131DA1"/>
    <w:rsid w:val="001342A9"/>
    <w:rsid w:val="00151EED"/>
    <w:rsid w:val="00160FB0"/>
    <w:rsid w:val="0016299A"/>
    <w:rsid w:val="001828AE"/>
    <w:rsid w:val="00183045"/>
    <w:rsid w:val="00187B02"/>
    <w:rsid w:val="001A2DCB"/>
    <w:rsid w:val="001A3993"/>
    <w:rsid w:val="001A63C4"/>
    <w:rsid w:val="001C595B"/>
    <w:rsid w:val="001C7873"/>
    <w:rsid w:val="002055FC"/>
    <w:rsid w:val="00205E84"/>
    <w:rsid w:val="0020731C"/>
    <w:rsid w:val="00215244"/>
    <w:rsid w:val="0021766F"/>
    <w:rsid w:val="00225DB9"/>
    <w:rsid w:val="00243487"/>
    <w:rsid w:val="00245251"/>
    <w:rsid w:val="002461E2"/>
    <w:rsid w:val="00256CCE"/>
    <w:rsid w:val="002676A6"/>
    <w:rsid w:val="00296819"/>
    <w:rsid w:val="002A42D9"/>
    <w:rsid w:val="002B4D94"/>
    <w:rsid w:val="002C6693"/>
    <w:rsid w:val="002E69DF"/>
    <w:rsid w:val="003051F9"/>
    <w:rsid w:val="00307654"/>
    <w:rsid w:val="00307EB2"/>
    <w:rsid w:val="00320253"/>
    <w:rsid w:val="00330C1F"/>
    <w:rsid w:val="00333FB5"/>
    <w:rsid w:val="0033456E"/>
    <w:rsid w:val="00342694"/>
    <w:rsid w:val="003470A9"/>
    <w:rsid w:val="003531D1"/>
    <w:rsid w:val="00361666"/>
    <w:rsid w:val="003750D6"/>
    <w:rsid w:val="00395EFA"/>
    <w:rsid w:val="003D2EE3"/>
    <w:rsid w:val="003D78A4"/>
    <w:rsid w:val="00407DD6"/>
    <w:rsid w:val="004402C7"/>
    <w:rsid w:val="004439C5"/>
    <w:rsid w:val="0044435D"/>
    <w:rsid w:val="00451281"/>
    <w:rsid w:val="00453D70"/>
    <w:rsid w:val="004625B2"/>
    <w:rsid w:val="00462A0B"/>
    <w:rsid w:val="00487838"/>
    <w:rsid w:val="004B5AF4"/>
    <w:rsid w:val="004C2B3B"/>
    <w:rsid w:val="004D6569"/>
    <w:rsid w:val="004E1F18"/>
    <w:rsid w:val="004F0111"/>
    <w:rsid w:val="004F3EEC"/>
    <w:rsid w:val="00512DE5"/>
    <w:rsid w:val="005336A2"/>
    <w:rsid w:val="0053441B"/>
    <w:rsid w:val="00544F0B"/>
    <w:rsid w:val="00556453"/>
    <w:rsid w:val="005635E0"/>
    <w:rsid w:val="00574187"/>
    <w:rsid w:val="00576B1B"/>
    <w:rsid w:val="00592F32"/>
    <w:rsid w:val="005A0B86"/>
    <w:rsid w:val="005A4E62"/>
    <w:rsid w:val="005C551A"/>
    <w:rsid w:val="005F5264"/>
    <w:rsid w:val="005F75D4"/>
    <w:rsid w:val="0061007D"/>
    <w:rsid w:val="006221AE"/>
    <w:rsid w:val="00622587"/>
    <w:rsid w:val="0062435D"/>
    <w:rsid w:val="00642A34"/>
    <w:rsid w:val="00652751"/>
    <w:rsid w:val="006556A4"/>
    <w:rsid w:val="006570FD"/>
    <w:rsid w:val="00690BF6"/>
    <w:rsid w:val="00692742"/>
    <w:rsid w:val="0069299C"/>
    <w:rsid w:val="00693967"/>
    <w:rsid w:val="00695B6E"/>
    <w:rsid w:val="006A2515"/>
    <w:rsid w:val="006A4B66"/>
    <w:rsid w:val="006A6722"/>
    <w:rsid w:val="006B4F32"/>
    <w:rsid w:val="006E207D"/>
    <w:rsid w:val="006E35F4"/>
    <w:rsid w:val="006F5299"/>
    <w:rsid w:val="0070280A"/>
    <w:rsid w:val="007110B5"/>
    <w:rsid w:val="0072467A"/>
    <w:rsid w:val="00726318"/>
    <w:rsid w:val="00744FC5"/>
    <w:rsid w:val="007544C6"/>
    <w:rsid w:val="0075612D"/>
    <w:rsid w:val="00756DD2"/>
    <w:rsid w:val="0076460E"/>
    <w:rsid w:val="00774C30"/>
    <w:rsid w:val="0079563B"/>
    <w:rsid w:val="007A06F3"/>
    <w:rsid w:val="007A2261"/>
    <w:rsid w:val="007C314A"/>
    <w:rsid w:val="007D7987"/>
    <w:rsid w:val="007E0530"/>
    <w:rsid w:val="007E5E69"/>
    <w:rsid w:val="007F1A09"/>
    <w:rsid w:val="008119BD"/>
    <w:rsid w:val="00811ABC"/>
    <w:rsid w:val="00817E65"/>
    <w:rsid w:val="00826F5A"/>
    <w:rsid w:val="008317B4"/>
    <w:rsid w:val="008352E4"/>
    <w:rsid w:val="008372F0"/>
    <w:rsid w:val="00861A09"/>
    <w:rsid w:val="00863E47"/>
    <w:rsid w:val="00872A21"/>
    <w:rsid w:val="008800C1"/>
    <w:rsid w:val="00880187"/>
    <w:rsid w:val="008911D1"/>
    <w:rsid w:val="008D4E35"/>
    <w:rsid w:val="008E0C48"/>
    <w:rsid w:val="00920EF0"/>
    <w:rsid w:val="00921590"/>
    <w:rsid w:val="009322A7"/>
    <w:rsid w:val="00933692"/>
    <w:rsid w:val="00935B5C"/>
    <w:rsid w:val="00954952"/>
    <w:rsid w:val="009647AF"/>
    <w:rsid w:val="00966233"/>
    <w:rsid w:val="009A5275"/>
    <w:rsid w:val="009A7077"/>
    <w:rsid w:val="009B28B7"/>
    <w:rsid w:val="009F1D83"/>
    <w:rsid w:val="00A210EB"/>
    <w:rsid w:val="00A36D9F"/>
    <w:rsid w:val="00A442DA"/>
    <w:rsid w:val="00A65D0A"/>
    <w:rsid w:val="00A97B95"/>
    <w:rsid w:val="00AA1C91"/>
    <w:rsid w:val="00AA3E4D"/>
    <w:rsid w:val="00AA78FA"/>
    <w:rsid w:val="00AB7BA9"/>
    <w:rsid w:val="00AD0B5E"/>
    <w:rsid w:val="00AD2115"/>
    <w:rsid w:val="00AF4D83"/>
    <w:rsid w:val="00B03CE0"/>
    <w:rsid w:val="00B047D8"/>
    <w:rsid w:val="00B108A8"/>
    <w:rsid w:val="00B10965"/>
    <w:rsid w:val="00B604B0"/>
    <w:rsid w:val="00B61163"/>
    <w:rsid w:val="00B623FB"/>
    <w:rsid w:val="00B63AE6"/>
    <w:rsid w:val="00B77CF3"/>
    <w:rsid w:val="00B83101"/>
    <w:rsid w:val="00B84FB9"/>
    <w:rsid w:val="00B86054"/>
    <w:rsid w:val="00B9625C"/>
    <w:rsid w:val="00B97BA3"/>
    <w:rsid w:val="00BA080E"/>
    <w:rsid w:val="00BB7D3E"/>
    <w:rsid w:val="00BC3E80"/>
    <w:rsid w:val="00BC6BD9"/>
    <w:rsid w:val="00BD1097"/>
    <w:rsid w:val="00BE713F"/>
    <w:rsid w:val="00BE7BD3"/>
    <w:rsid w:val="00C05841"/>
    <w:rsid w:val="00C13D88"/>
    <w:rsid w:val="00C30985"/>
    <w:rsid w:val="00C355C0"/>
    <w:rsid w:val="00C435C1"/>
    <w:rsid w:val="00C512BE"/>
    <w:rsid w:val="00C55A34"/>
    <w:rsid w:val="00C804FB"/>
    <w:rsid w:val="00C815E6"/>
    <w:rsid w:val="00C8538E"/>
    <w:rsid w:val="00C86412"/>
    <w:rsid w:val="00CF23CF"/>
    <w:rsid w:val="00CF746B"/>
    <w:rsid w:val="00D03C6B"/>
    <w:rsid w:val="00D16C35"/>
    <w:rsid w:val="00D3208B"/>
    <w:rsid w:val="00D45589"/>
    <w:rsid w:val="00D64CFC"/>
    <w:rsid w:val="00D71C70"/>
    <w:rsid w:val="00D73AB2"/>
    <w:rsid w:val="00DA09FA"/>
    <w:rsid w:val="00DB500A"/>
    <w:rsid w:val="00DB5CCC"/>
    <w:rsid w:val="00DC39CD"/>
    <w:rsid w:val="00DD50C4"/>
    <w:rsid w:val="00DD6137"/>
    <w:rsid w:val="00DE010C"/>
    <w:rsid w:val="00E771DC"/>
    <w:rsid w:val="00E827DA"/>
    <w:rsid w:val="00E84215"/>
    <w:rsid w:val="00EA160C"/>
    <w:rsid w:val="00EA276F"/>
    <w:rsid w:val="00EB2AEC"/>
    <w:rsid w:val="00ED3B28"/>
    <w:rsid w:val="00EF073F"/>
    <w:rsid w:val="00EF34C2"/>
    <w:rsid w:val="00F111B2"/>
    <w:rsid w:val="00F221AF"/>
    <w:rsid w:val="00F30563"/>
    <w:rsid w:val="00F44103"/>
    <w:rsid w:val="00F44121"/>
    <w:rsid w:val="00F622F6"/>
    <w:rsid w:val="00F726D7"/>
    <w:rsid w:val="00F82367"/>
    <w:rsid w:val="00F82941"/>
    <w:rsid w:val="00F82E28"/>
    <w:rsid w:val="00F838F5"/>
    <w:rsid w:val="00F95B91"/>
    <w:rsid w:val="00FA10F2"/>
    <w:rsid w:val="00FC33D5"/>
    <w:rsid w:val="00FE2488"/>
    <w:rsid w:val="00FE5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E2AD"/>
  <w15:docId w15:val="{234A3E28-15FE-4CED-A39C-BF86ECBF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299A"/>
    <w:pPr>
      <w:tabs>
        <w:tab w:val="center" w:pos="4320"/>
        <w:tab w:val="right" w:pos="8640"/>
      </w:tabs>
    </w:pPr>
  </w:style>
  <w:style w:type="character" w:styleId="PageNumber">
    <w:name w:val="page number"/>
    <w:basedOn w:val="DefaultParagraphFont"/>
    <w:rsid w:val="0016299A"/>
  </w:style>
  <w:style w:type="character" w:styleId="Hyperlink">
    <w:name w:val="Hyperlink"/>
    <w:uiPriority w:val="99"/>
    <w:unhideWhenUsed/>
    <w:rsid w:val="00106714"/>
    <w:rPr>
      <w:color w:val="0563C1"/>
      <w:u w:val="single"/>
    </w:rPr>
  </w:style>
  <w:style w:type="paragraph" w:styleId="Footer">
    <w:name w:val="footer"/>
    <w:basedOn w:val="Normal"/>
    <w:link w:val="FooterChar"/>
    <w:uiPriority w:val="99"/>
    <w:unhideWhenUsed/>
    <w:rsid w:val="004D6569"/>
    <w:pPr>
      <w:tabs>
        <w:tab w:val="center" w:pos="4680"/>
        <w:tab w:val="right" w:pos="9360"/>
      </w:tabs>
    </w:pPr>
  </w:style>
  <w:style w:type="character" w:customStyle="1" w:styleId="FooterChar">
    <w:name w:val="Footer Char"/>
    <w:basedOn w:val="DefaultParagraphFont"/>
    <w:link w:val="Footer"/>
    <w:uiPriority w:val="99"/>
    <w:rsid w:val="004D6569"/>
    <w:rPr>
      <w:sz w:val="24"/>
      <w:szCs w:val="24"/>
    </w:rPr>
  </w:style>
  <w:style w:type="paragraph" w:styleId="ListParagraph">
    <w:name w:val="List Paragraph"/>
    <w:basedOn w:val="Normal"/>
    <w:uiPriority w:val="72"/>
    <w:qFormat/>
    <w:rsid w:val="00F3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780">
      <w:bodyDiv w:val="1"/>
      <w:marLeft w:val="0"/>
      <w:marRight w:val="0"/>
      <w:marTop w:val="0"/>
      <w:marBottom w:val="0"/>
      <w:divBdr>
        <w:top w:val="none" w:sz="0" w:space="0" w:color="auto"/>
        <w:left w:val="none" w:sz="0" w:space="0" w:color="auto"/>
        <w:bottom w:val="none" w:sz="0" w:space="0" w:color="auto"/>
        <w:right w:val="none" w:sz="0" w:space="0" w:color="auto"/>
      </w:divBdr>
    </w:div>
    <w:div w:id="13491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Assessment of Process Outcomes in Academic Advising</vt:lpstr>
    </vt:vector>
  </TitlesOfParts>
  <Company>West Virginia University</Company>
  <LinksUpToDate>false</LinksUpToDate>
  <CharactersWithSpaces>4198</CharactersWithSpaces>
  <SharedDoc>false</SharedDoc>
  <HLinks>
    <vt:vector size="24" baseType="variant">
      <vt:variant>
        <vt:i4>65612</vt:i4>
      </vt:variant>
      <vt:variant>
        <vt:i4>9</vt:i4>
      </vt:variant>
      <vt:variant>
        <vt:i4>0</vt:i4>
      </vt:variant>
      <vt:variant>
        <vt:i4>5</vt:i4>
      </vt:variant>
      <vt:variant>
        <vt:lpwstr>mailto:jejoslin@ksu.edu</vt:lpwstr>
      </vt:variant>
      <vt:variant>
        <vt:lpwstr/>
      </vt:variant>
      <vt:variant>
        <vt:i4>7405651</vt:i4>
      </vt:variant>
      <vt:variant>
        <vt:i4>6</vt:i4>
      </vt:variant>
      <vt:variant>
        <vt:i4>0</vt:i4>
      </vt:variant>
      <vt:variant>
        <vt:i4>5</vt:i4>
      </vt:variant>
      <vt:variant>
        <vt:lpwstr>mailto:mcoffey@ksu.edu</vt:lpwstr>
      </vt:variant>
      <vt:variant>
        <vt:lpwstr/>
      </vt:variant>
      <vt:variant>
        <vt:i4>6357043</vt:i4>
      </vt:variant>
      <vt:variant>
        <vt:i4>3</vt:i4>
      </vt:variant>
      <vt:variant>
        <vt:i4>0</vt:i4>
      </vt:variant>
      <vt:variant>
        <vt:i4>5</vt:i4>
      </vt:variant>
      <vt:variant>
        <vt:lpwstr>mailto:bmcfarlane@ucdavis.edu</vt:lpwstr>
      </vt:variant>
      <vt:variant>
        <vt:lpwstr/>
      </vt:variant>
      <vt:variant>
        <vt:i4>1572944</vt:i4>
      </vt:variant>
      <vt:variant>
        <vt:i4>0</vt:i4>
      </vt:variant>
      <vt:variant>
        <vt:i4>0</vt:i4>
      </vt:variant>
      <vt:variant>
        <vt:i4>5</vt:i4>
      </vt:variant>
      <vt:variant>
        <vt:lpwstr>mailto:cecilia.p.olivares@gmail.com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Process Outcomes in Academic Advising</dc:title>
  <dc:subject/>
  <dc:creator>Dr. Rich Robbins</dc:creator>
  <cp:keywords/>
  <cp:lastModifiedBy>Rhonda Baker</cp:lastModifiedBy>
  <cp:revision>2</cp:revision>
  <cp:lastPrinted>2015-10-19T22:24:00Z</cp:lastPrinted>
  <dcterms:created xsi:type="dcterms:W3CDTF">2019-04-02T13:01:00Z</dcterms:created>
  <dcterms:modified xsi:type="dcterms:W3CDTF">2019-04-02T13:01:00Z</dcterms:modified>
</cp:coreProperties>
</file>